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42511AED" w:rsidR="000830E3" w:rsidRDefault="00460DC7" w:rsidP="00460DC7">
      <w:pPr>
        <w:pStyle w:val="Pagedecouverture"/>
        <w:rPr>
          <w:noProof/>
        </w:rPr>
      </w:pPr>
      <w:bookmarkStart w:id="0" w:name="LW_BM_COVERPAGE"/>
      <w:r>
        <w:rPr>
          <w:noProof/>
        </w:rPr>
        <w:pict w14:anchorId="11C34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80D3D5-0508-4305-AB60-D157D83A42D5" style="width:455.25pt;height:548.25pt">
            <v:imagedata r:id="rId15" o:title=""/>
          </v:shape>
        </w:pict>
      </w:r>
    </w:p>
    <w:bookmarkEnd w:id="0"/>
    <w:p w14:paraId="2BAF3ADB" w14:textId="77777777" w:rsidR="000830E3" w:rsidRDefault="000830E3" w:rsidP="000830E3">
      <w:pPr>
        <w:rPr>
          <w:noProof/>
        </w:rPr>
        <w:sectPr w:rsidR="000830E3" w:rsidSect="00460DC7">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4296089" w14:textId="5193387C" w:rsidR="003D13B0" w:rsidRPr="00A97CA9" w:rsidRDefault="00DA4E1C" w:rsidP="003D13B0">
      <w:pPr>
        <w:pBdr>
          <w:top w:val="single" w:sz="4" w:space="1" w:color="auto"/>
          <w:left w:val="single" w:sz="4" w:space="4" w:color="auto"/>
          <w:bottom w:val="single" w:sz="4" w:space="17" w:color="auto"/>
          <w:right w:val="single" w:sz="4" w:space="4" w:color="auto"/>
        </w:pBdr>
        <w:rPr>
          <w:rFonts w:ascii="Times New Roman Bold" w:hAnsi="Times New Roman Bold"/>
          <w:b/>
          <w:bCs/>
          <w:smallCaps/>
          <w:noProof/>
          <w:u w:val="single"/>
          <w:lang w:val="en-IE" w:eastAsia="en-GB"/>
        </w:rPr>
      </w:pPr>
      <w:bookmarkStart w:id="1" w:name="_GoBack"/>
      <w:bookmarkEnd w:id="1"/>
      <w:r>
        <w:rPr>
          <w:rFonts w:ascii="Times New Roman Bold" w:hAnsi="Times New Roman Bold"/>
          <w:b/>
          <w:bCs/>
          <w:smallCaps/>
          <w:noProof/>
          <w:u w:val="single"/>
          <w:lang w:val="en-IE" w:eastAsia="en-GB"/>
        </w:rPr>
        <w:lastRenderedPageBreak/>
        <w:t xml:space="preserve">Abstract </w:t>
      </w:r>
      <w:r w:rsidR="00A97CA9">
        <w:rPr>
          <w:rFonts w:ascii="Times New Roman Bold" w:hAnsi="Times New Roman Bold"/>
          <w:b/>
          <w:bCs/>
          <w:smallCaps/>
          <w:noProof/>
          <w:u w:val="single"/>
          <w:lang w:val="en-IE" w:eastAsia="en-GB"/>
        </w:rPr>
        <w:t xml:space="preserve"> </w:t>
      </w:r>
    </w:p>
    <w:p w14:paraId="32692A4F" w14:textId="58105F16" w:rsidR="003D13B0" w:rsidRPr="003D13B0" w:rsidRDefault="003D13B0" w:rsidP="003D13B0">
      <w:pPr>
        <w:pBdr>
          <w:top w:val="single" w:sz="4" w:space="1" w:color="auto"/>
          <w:left w:val="single" w:sz="4" w:space="4" w:color="auto"/>
          <w:bottom w:val="single" w:sz="4" w:space="17" w:color="auto"/>
          <w:right w:val="single" w:sz="4" w:space="4" w:color="auto"/>
        </w:pBdr>
        <w:rPr>
          <w:noProof/>
          <w:lang w:val="en-IE" w:eastAsia="en-GB"/>
        </w:rPr>
      </w:pPr>
      <w:r w:rsidRPr="003D13B0">
        <w:rPr>
          <w:noProof/>
          <w:lang w:val="en-IE" w:eastAsia="en-GB"/>
        </w:rPr>
        <w:t>In Romania, the Justice Laws continue</w:t>
      </w:r>
      <w:r w:rsidR="005C1CDC">
        <w:rPr>
          <w:noProof/>
          <w:lang w:val="en-IE" w:eastAsia="en-GB"/>
        </w:rPr>
        <w:t>d</w:t>
      </w:r>
      <w:r w:rsidRPr="003D13B0">
        <w:rPr>
          <w:noProof/>
          <w:lang w:val="en-IE" w:eastAsia="en-GB"/>
        </w:rPr>
        <w:t xml:space="preserve"> to be implemented</w:t>
      </w:r>
      <w:r w:rsidR="000E3A1D">
        <w:rPr>
          <w:noProof/>
          <w:lang w:val="en-IE" w:eastAsia="en-GB"/>
        </w:rPr>
        <w:t xml:space="preserve"> </w:t>
      </w:r>
      <w:r w:rsidR="000E3A1D" w:rsidRPr="00E86CAA">
        <w:rPr>
          <w:bCs/>
          <w:noProof/>
          <w:szCs w:val="24"/>
        </w:rPr>
        <w:t xml:space="preserve">and contributed to </w:t>
      </w:r>
      <w:r w:rsidR="000E3A1D" w:rsidRPr="00E86CAA">
        <w:rPr>
          <w:noProof/>
          <w:szCs w:val="24"/>
        </w:rPr>
        <w:t>improv</w:t>
      </w:r>
      <w:r w:rsidR="00693D1B">
        <w:rPr>
          <w:noProof/>
          <w:szCs w:val="24"/>
        </w:rPr>
        <w:t>ing</w:t>
      </w:r>
      <w:r w:rsidR="000E3A1D" w:rsidRPr="00E86CAA">
        <w:rPr>
          <w:bCs/>
          <w:noProof/>
          <w:szCs w:val="24"/>
        </w:rPr>
        <w:t xml:space="preserve"> the </w:t>
      </w:r>
      <w:r w:rsidR="000E3A1D" w:rsidRPr="00E86CAA" w:rsidDel="00C1112D">
        <w:rPr>
          <w:bCs/>
          <w:noProof/>
          <w:szCs w:val="24"/>
        </w:rPr>
        <w:t xml:space="preserve">legislative </w:t>
      </w:r>
      <w:r w:rsidR="000E3A1D" w:rsidRPr="00E86CAA">
        <w:rPr>
          <w:bCs/>
          <w:noProof/>
          <w:szCs w:val="24"/>
        </w:rPr>
        <w:t xml:space="preserve">framework for </w:t>
      </w:r>
      <w:r w:rsidR="000E3A1D" w:rsidRPr="00E86CAA" w:rsidDel="00576FA7">
        <w:rPr>
          <w:bCs/>
          <w:noProof/>
          <w:szCs w:val="24"/>
        </w:rPr>
        <w:t xml:space="preserve">the independence and functioning of </w:t>
      </w:r>
      <w:r w:rsidR="000E3A1D" w:rsidRPr="00E86CAA">
        <w:rPr>
          <w:bCs/>
          <w:noProof/>
          <w:szCs w:val="24"/>
        </w:rPr>
        <w:t>the judiciary</w:t>
      </w:r>
      <w:r w:rsidRPr="003D13B0">
        <w:rPr>
          <w:noProof/>
          <w:lang w:val="en-IE" w:eastAsia="en-GB"/>
        </w:rPr>
        <w:t xml:space="preserve">, while a reflection on various </w:t>
      </w:r>
      <w:r w:rsidR="00F81C58">
        <w:rPr>
          <w:noProof/>
          <w:lang w:val="en-IE" w:eastAsia="en-GB"/>
        </w:rPr>
        <w:t>concerns</w:t>
      </w:r>
      <w:r w:rsidR="00F81C58" w:rsidRPr="003D13B0">
        <w:rPr>
          <w:noProof/>
          <w:lang w:val="en-IE" w:eastAsia="en-GB"/>
        </w:rPr>
        <w:t xml:space="preserve"> </w:t>
      </w:r>
      <w:r w:rsidRPr="003D13B0">
        <w:rPr>
          <w:noProof/>
          <w:lang w:val="en-IE" w:eastAsia="en-GB"/>
        </w:rPr>
        <w:t>related to the judiciary</w:t>
      </w:r>
      <w:r w:rsidR="009D4DA1">
        <w:rPr>
          <w:noProof/>
          <w:lang w:val="en-IE" w:eastAsia="en-GB"/>
        </w:rPr>
        <w:t xml:space="preserve"> in public debates</w:t>
      </w:r>
      <w:r w:rsidRPr="003D13B0">
        <w:rPr>
          <w:noProof/>
          <w:lang w:val="en-IE" w:eastAsia="en-GB"/>
        </w:rPr>
        <w:t xml:space="preserve"> has been put on hold following a decision of the High Court of Cassation and Justice. </w:t>
      </w:r>
      <w:r w:rsidR="004B585E" w:rsidRPr="004B585E">
        <w:rPr>
          <w:noProof/>
          <w:lang w:val="en-IE" w:eastAsia="en-GB"/>
        </w:rPr>
        <w:t>A selection procedure result</w:t>
      </w:r>
      <w:r w:rsidR="006E14B0">
        <w:rPr>
          <w:noProof/>
          <w:lang w:val="en-IE" w:eastAsia="en-GB"/>
        </w:rPr>
        <w:t>ed</w:t>
      </w:r>
      <w:r w:rsidR="004B585E" w:rsidRPr="004B585E">
        <w:rPr>
          <w:noProof/>
          <w:lang w:val="en-IE" w:eastAsia="en-GB"/>
        </w:rPr>
        <w:t xml:space="preserve"> in </w:t>
      </w:r>
      <w:r w:rsidR="008B7CFE">
        <w:rPr>
          <w:noProof/>
          <w:lang w:val="en-IE" w:eastAsia="en-GB"/>
        </w:rPr>
        <w:t xml:space="preserve">the </w:t>
      </w:r>
      <w:r w:rsidR="004B585E" w:rsidRPr="004B585E">
        <w:rPr>
          <w:noProof/>
          <w:lang w:val="en-IE" w:eastAsia="en-GB"/>
        </w:rPr>
        <w:t>appoint</w:t>
      </w:r>
      <w:r w:rsidR="004B585E" w:rsidRPr="004B585E" w:rsidDel="008B7CFE">
        <w:rPr>
          <w:noProof/>
          <w:lang w:val="en-IE" w:eastAsia="en-GB"/>
        </w:rPr>
        <w:t>ments</w:t>
      </w:r>
      <w:r w:rsidR="004B585E" w:rsidRPr="004B585E">
        <w:rPr>
          <w:noProof/>
          <w:lang w:val="en-IE" w:eastAsia="en-GB"/>
        </w:rPr>
        <w:t xml:space="preserve"> </w:t>
      </w:r>
      <w:r w:rsidR="008B7CFE">
        <w:rPr>
          <w:noProof/>
          <w:lang w:val="en-IE" w:eastAsia="en-GB"/>
        </w:rPr>
        <w:t>of</w:t>
      </w:r>
      <w:r w:rsidR="004B585E" w:rsidRPr="004B585E">
        <w:rPr>
          <w:noProof/>
          <w:lang w:val="en-IE" w:eastAsia="en-GB"/>
        </w:rPr>
        <w:t xml:space="preserve"> several high-ranking prosecutor</w:t>
      </w:r>
      <w:r w:rsidR="008B7CFE">
        <w:rPr>
          <w:noProof/>
          <w:lang w:val="en-IE" w:eastAsia="en-GB"/>
        </w:rPr>
        <w:t>s</w:t>
      </w:r>
      <w:r w:rsidR="004B585E" w:rsidRPr="004B585E">
        <w:rPr>
          <w:noProof/>
          <w:lang w:val="en-IE" w:eastAsia="en-GB"/>
        </w:rPr>
        <w:t>. However, n</w:t>
      </w:r>
      <w:r w:rsidRPr="003D13B0">
        <w:rPr>
          <w:noProof/>
          <w:lang w:val="en-IE" w:eastAsia="en-GB"/>
        </w:rPr>
        <w:t xml:space="preserve">o </w:t>
      </w:r>
      <w:r w:rsidR="00AB217D">
        <w:rPr>
          <w:noProof/>
          <w:lang w:val="en-IE" w:eastAsia="en-GB"/>
        </w:rPr>
        <w:t xml:space="preserve">legislative </w:t>
      </w:r>
      <w:r w:rsidRPr="003D13B0">
        <w:rPr>
          <w:noProof/>
          <w:lang w:val="en-IE" w:eastAsia="en-GB"/>
        </w:rPr>
        <w:t xml:space="preserve">steps have been taken yet to </w:t>
      </w:r>
      <w:r w:rsidRPr="003D13B0">
        <w:rPr>
          <w:bCs/>
          <w:noProof/>
          <w:lang w:val="en-IE" w:eastAsia="en-GB"/>
        </w:rPr>
        <w:t>strengthen safeguards to ensure</w:t>
      </w:r>
      <w:r w:rsidRPr="003D13B0">
        <w:rPr>
          <w:noProof/>
          <w:lang w:val="en-IE" w:eastAsia="en-GB"/>
        </w:rPr>
        <w:t xml:space="preserve"> the independence of high-ranking prosecutors and for the organisation and functioning of the judicial police. Some magistrates continue to feel undue pressure from inside the judiciary and judges were recused for intending to refer cases to European Courts. </w:t>
      </w:r>
      <w:r w:rsidR="00C33781" w:rsidRPr="00C33781">
        <w:rPr>
          <w:noProof/>
          <w:lang w:val="en-IE" w:eastAsia="en-GB"/>
        </w:rPr>
        <w:t xml:space="preserve">The occupancy rate of positions in </w:t>
      </w:r>
      <w:r w:rsidR="00BE48FE">
        <w:rPr>
          <w:noProof/>
          <w:lang w:val="en-IE" w:eastAsia="en-GB"/>
        </w:rPr>
        <w:t xml:space="preserve">the </w:t>
      </w:r>
      <w:r w:rsidR="00C33781" w:rsidRPr="00C33781">
        <w:rPr>
          <w:noProof/>
          <w:lang w:val="en-IE" w:eastAsia="en-GB"/>
        </w:rPr>
        <w:t>magistracy increased in 2025, and m</w:t>
      </w:r>
      <w:r w:rsidRPr="003D13B0">
        <w:rPr>
          <w:noProof/>
          <w:lang w:val="en-IE" w:eastAsia="en-GB"/>
        </w:rPr>
        <w:t>easures have been taken to tackle current shortage</w:t>
      </w:r>
      <w:r w:rsidR="00D43E21">
        <w:rPr>
          <w:noProof/>
          <w:lang w:val="en-IE" w:eastAsia="en-GB"/>
        </w:rPr>
        <w:t>s</w:t>
      </w:r>
      <w:r w:rsidRPr="003D13B0">
        <w:rPr>
          <w:noProof/>
          <w:lang w:val="en-IE" w:eastAsia="en-GB"/>
        </w:rPr>
        <w:t xml:space="preserve"> and to improve the legal aid system, which remains underfunded. The digitalisation of the justice system is one of the priorities of </w:t>
      </w:r>
      <w:r w:rsidR="000A322F">
        <w:rPr>
          <w:noProof/>
          <w:lang w:val="en-IE" w:eastAsia="en-GB"/>
        </w:rPr>
        <w:t>the Government</w:t>
      </w:r>
      <w:r w:rsidRPr="003D13B0">
        <w:rPr>
          <w:noProof/>
          <w:lang w:val="en-IE" w:eastAsia="en-GB"/>
        </w:rPr>
        <w:t>. The estimated time needed to resolve civil, commercial, administrative</w:t>
      </w:r>
      <w:r w:rsidR="00150AB2">
        <w:rPr>
          <w:noProof/>
          <w:lang w:val="en-IE" w:eastAsia="en-GB"/>
        </w:rPr>
        <w:t xml:space="preserve"> cases</w:t>
      </w:r>
      <w:r w:rsidRPr="003D13B0">
        <w:rPr>
          <w:noProof/>
          <w:lang w:val="en-IE" w:eastAsia="en-GB"/>
        </w:rPr>
        <w:t xml:space="preserve"> significantly decreased while the clearance rate improved.</w:t>
      </w:r>
    </w:p>
    <w:p w14:paraId="0788EE92" w14:textId="57B25853" w:rsidR="003D13B0" w:rsidRPr="003D13B0" w:rsidRDefault="003D13B0" w:rsidP="003D13B0">
      <w:pPr>
        <w:pBdr>
          <w:top w:val="single" w:sz="4" w:space="1" w:color="auto"/>
          <w:left w:val="single" w:sz="4" w:space="4" w:color="auto"/>
          <w:bottom w:val="single" w:sz="4" w:space="17" w:color="auto"/>
          <w:right w:val="single" w:sz="4" w:space="4" w:color="auto"/>
        </w:pBdr>
        <w:rPr>
          <w:noProof/>
          <w:szCs w:val="22"/>
          <w:lang w:val="en-IE" w:eastAsia="fr-FR"/>
        </w:rPr>
      </w:pPr>
      <w:r w:rsidRPr="003D13B0">
        <w:rPr>
          <w:noProof/>
          <w:szCs w:val="22"/>
          <w:lang w:val="en-IE" w:eastAsia="en-GB"/>
        </w:rPr>
        <w:t xml:space="preserve">The evaluation of the 2021-2025 National Anti-Corruption Strategy has been finalised and the next strategy for 2026-2030 is under preparation. The track record in prosecuting </w:t>
      </w:r>
      <w:r w:rsidR="00867D89" w:rsidRPr="00406687">
        <w:rPr>
          <w:bCs/>
          <w:noProof/>
          <w:szCs w:val="22"/>
          <w:lang w:eastAsia="en-GB"/>
        </w:rPr>
        <w:t xml:space="preserve">both petty and high-level </w:t>
      </w:r>
      <w:r w:rsidRPr="003D13B0">
        <w:rPr>
          <w:noProof/>
          <w:szCs w:val="22"/>
          <w:lang w:val="en-IE" w:eastAsia="en-GB"/>
        </w:rPr>
        <w:t>corruption has been maintained</w:t>
      </w:r>
      <w:r w:rsidR="00A17E08">
        <w:rPr>
          <w:noProof/>
          <w:szCs w:val="22"/>
          <w:lang w:val="en-IE" w:eastAsia="en-GB"/>
        </w:rPr>
        <w:t xml:space="preserve"> </w:t>
      </w:r>
      <w:r w:rsidR="00A17E08" w:rsidRPr="00A17E08">
        <w:rPr>
          <w:noProof/>
          <w:szCs w:val="22"/>
          <w:lang w:eastAsia="en-GB"/>
        </w:rPr>
        <w:t>compared to the previous year</w:t>
      </w:r>
      <w:r w:rsidR="001F5E93">
        <w:rPr>
          <w:noProof/>
          <w:szCs w:val="22"/>
          <w:lang w:val="en-IE" w:eastAsia="en-GB"/>
        </w:rPr>
        <w:t>.</w:t>
      </w:r>
      <w:r w:rsidR="000A322F">
        <w:rPr>
          <w:noProof/>
          <w:szCs w:val="22"/>
          <w:lang w:val="en-IE" w:eastAsia="en-GB"/>
        </w:rPr>
        <w:t xml:space="preserve"> </w:t>
      </w:r>
      <w:r w:rsidR="001F5E93">
        <w:rPr>
          <w:noProof/>
          <w:szCs w:val="22"/>
          <w:lang w:val="en-IE" w:eastAsia="en-GB"/>
        </w:rPr>
        <w:t>L</w:t>
      </w:r>
      <w:r w:rsidRPr="003D13B0">
        <w:rPr>
          <w:noProof/>
          <w:szCs w:val="22"/>
          <w:lang w:val="en-IE" w:eastAsia="en-GB"/>
        </w:rPr>
        <w:t>ower courts have continued to close corruption cases and annul convictions</w:t>
      </w:r>
      <w:r w:rsidR="00811DF3">
        <w:rPr>
          <w:noProof/>
          <w:szCs w:val="22"/>
          <w:lang w:val="en-IE" w:eastAsia="en-GB"/>
        </w:rPr>
        <w:t>,</w:t>
      </w:r>
      <w:r w:rsidR="00811DF3" w:rsidRPr="00811DF3">
        <w:rPr>
          <w:noProof/>
          <w:sz w:val="22"/>
          <w:szCs w:val="22"/>
        </w:rPr>
        <w:t xml:space="preserve"> </w:t>
      </w:r>
      <w:r w:rsidR="00811DF3" w:rsidRPr="00D3257D">
        <w:rPr>
          <w:noProof/>
          <w:szCs w:val="24"/>
        </w:rPr>
        <w:t>including in high level ones,</w:t>
      </w:r>
      <w:r w:rsidRPr="00D3257D">
        <w:rPr>
          <w:noProof/>
          <w:sz w:val="28"/>
          <w:szCs w:val="24"/>
          <w:lang w:val="en-IE" w:eastAsia="en-GB"/>
        </w:rPr>
        <w:t xml:space="preserve"> </w:t>
      </w:r>
      <w:r w:rsidRPr="003D13B0">
        <w:rPr>
          <w:noProof/>
          <w:szCs w:val="22"/>
          <w:lang w:val="en-IE" w:eastAsia="en-GB"/>
        </w:rPr>
        <w:t xml:space="preserve">following rulings by the High Court of Cassation and Justice on the statute of limitations. </w:t>
      </w:r>
      <w:r w:rsidR="009758DA" w:rsidRPr="009758DA">
        <w:rPr>
          <w:noProof/>
          <w:szCs w:val="22"/>
          <w:lang w:val="en-US" w:eastAsia="en-GB"/>
        </w:rPr>
        <w:t xml:space="preserve">While the backlog of pending cases has been significantly reduced, </w:t>
      </w:r>
      <w:r w:rsidR="009758DA">
        <w:rPr>
          <w:noProof/>
          <w:szCs w:val="22"/>
          <w:lang w:val="en-IE" w:eastAsia="fr-FR"/>
        </w:rPr>
        <w:t>t</w:t>
      </w:r>
      <w:r w:rsidRPr="003D13B0">
        <w:rPr>
          <w:noProof/>
          <w:szCs w:val="22"/>
          <w:lang w:val="en-IE" w:eastAsia="fr-FR"/>
        </w:rPr>
        <w:t xml:space="preserve">here have been no further </w:t>
      </w:r>
      <w:r w:rsidR="00921713">
        <w:rPr>
          <w:noProof/>
          <w:szCs w:val="22"/>
          <w:lang w:val="en-IE" w:eastAsia="fr-FR"/>
        </w:rPr>
        <w:t xml:space="preserve">measures taken </w:t>
      </w:r>
      <w:r w:rsidRPr="003D13B0">
        <w:rPr>
          <w:noProof/>
          <w:szCs w:val="22"/>
          <w:lang w:val="en-IE" w:eastAsia="fr-FR"/>
        </w:rPr>
        <w:t xml:space="preserve">to ensure the effective investigation and prosecution of corruption offenses in the judiciary. New legislation on revolving doors was adopted, including pre- and post-employment restrictions on a wide range of public officials, and a new Code of Ethics for the government </w:t>
      </w:r>
      <w:r w:rsidR="000978C5">
        <w:rPr>
          <w:noProof/>
          <w:szCs w:val="22"/>
          <w:lang w:val="en-IE" w:eastAsia="fr-FR"/>
        </w:rPr>
        <w:t>is being implemented</w:t>
      </w:r>
      <w:r w:rsidRPr="003D13B0">
        <w:rPr>
          <w:noProof/>
          <w:szCs w:val="22"/>
          <w:lang w:val="en-IE" w:eastAsia="fr-FR"/>
        </w:rPr>
        <w:t>, including a prohibition on gifts</w:t>
      </w:r>
      <w:r w:rsidR="00D43E21">
        <w:rPr>
          <w:noProof/>
          <w:szCs w:val="22"/>
          <w:lang w:val="en-IE" w:eastAsia="fr-FR"/>
        </w:rPr>
        <w:t>. A</w:t>
      </w:r>
      <w:r w:rsidR="006C68AF">
        <w:rPr>
          <w:noProof/>
          <w:szCs w:val="22"/>
          <w:lang w:val="en-IE" w:eastAsia="fr-FR"/>
        </w:rPr>
        <w:t xml:space="preserve"> broad</w:t>
      </w:r>
      <w:r w:rsidRPr="003D13B0">
        <w:rPr>
          <w:noProof/>
          <w:szCs w:val="22"/>
          <w:lang w:val="en-IE" w:eastAsia="fr-FR"/>
        </w:rPr>
        <w:t xml:space="preserve"> legislative proposal </w:t>
      </w:r>
      <w:r w:rsidR="00D43E21">
        <w:rPr>
          <w:noProof/>
          <w:szCs w:val="22"/>
          <w:lang w:val="en-IE" w:eastAsia="fr-FR"/>
        </w:rPr>
        <w:t>on</w:t>
      </w:r>
      <w:r w:rsidR="00D43E21" w:rsidRPr="003D13B0">
        <w:rPr>
          <w:noProof/>
          <w:szCs w:val="22"/>
          <w:lang w:val="en-IE" w:eastAsia="fr-FR"/>
        </w:rPr>
        <w:t xml:space="preserve"> asset declaration</w:t>
      </w:r>
      <w:r w:rsidR="00D43E21">
        <w:rPr>
          <w:noProof/>
          <w:szCs w:val="22"/>
          <w:lang w:val="en-IE" w:eastAsia="fr-FR"/>
        </w:rPr>
        <w:t>s,</w:t>
      </w:r>
      <w:r w:rsidR="00D43E21" w:rsidRPr="003D13B0">
        <w:rPr>
          <w:noProof/>
          <w:szCs w:val="22"/>
          <w:lang w:val="en-IE" w:eastAsia="fr-FR"/>
        </w:rPr>
        <w:t xml:space="preserve"> </w:t>
      </w:r>
      <w:r w:rsidR="006C68AF" w:rsidRPr="006C68AF">
        <w:rPr>
          <w:bCs/>
          <w:noProof/>
          <w:szCs w:val="22"/>
          <w:lang w:eastAsia="fr-FR"/>
        </w:rPr>
        <w:t>submitted by the National Integrity Agency (ANI)</w:t>
      </w:r>
      <w:r w:rsidR="00D43E21">
        <w:rPr>
          <w:bCs/>
          <w:noProof/>
          <w:szCs w:val="22"/>
          <w:lang w:eastAsia="fr-FR"/>
        </w:rPr>
        <w:t>, is</w:t>
      </w:r>
      <w:r w:rsidR="006C68AF" w:rsidRPr="006C68AF">
        <w:rPr>
          <w:b/>
          <w:noProof/>
          <w:szCs w:val="22"/>
          <w:lang w:eastAsia="fr-FR"/>
        </w:rPr>
        <w:t xml:space="preserve"> </w:t>
      </w:r>
      <w:r w:rsidRPr="003D13B0">
        <w:rPr>
          <w:noProof/>
          <w:szCs w:val="22"/>
          <w:lang w:val="en-IE" w:eastAsia="fr-FR"/>
        </w:rPr>
        <w:t xml:space="preserve">currently under discussion. New rules on lobbying for Members of Parliament have been introduced. </w:t>
      </w:r>
      <w:r w:rsidR="00E02770">
        <w:rPr>
          <w:noProof/>
          <w:szCs w:val="22"/>
          <w:lang w:val="en-IE" w:eastAsia="fr-FR"/>
        </w:rPr>
        <w:t xml:space="preserve">ANI </w:t>
      </w:r>
      <w:r w:rsidRPr="003D13B0">
        <w:rPr>
          <w:noProof/>
          <w:szCs w:val="22"/>
          <w:lang w:val="en-IE" w:eastAsia="fr-FR"/>
        </w:rPr>
        <w:t xml:space="preserve">is developing an IT system for whistleblower reports. </w:t>
      </w:r>
    </w:p>
    <w:p w14:paraId="2B3510A9" w14:textId="1BA61A17" w:rsidR="003D13B0" w:rsidRPr="003D13B0" w:rsidRDefault="003D13B0" w:rsidP="66C0A495">
      <w:pPr>
        <w:pBdr>
          <w:top w:val="single" w:sz="4" w:space="1" w:color="auto"/>
          <w:left w:val="single" w:sz="4" w:space="4" w:color="auto"/>
          <w:bottom w:val="single" w:sz="4" w:space="17" w:color="auto"/>
          <w:right w:val="single" w:sz="4" w:space="4" w:color="auto"/>
        </w:pBdr>
        <w:rPr>
          <w:noProof/>
          <w:lang w:val="en-IE" w:eastAsia="en-GB"/>
        </w:rPr>
      </w:pPr>
      <w:r w:rsidRPr="66C0A495">
        <w:rPr>
          <w:noProof/>
          <w:lang w:val="en-IE" w:eastAsia="fr-FR"/>
        </w:rPr>
        <w:t>T</w:t>
      </w:r>
      <w:r w:rsidRPr="66C0A495">
        <w:rPr>
          <w:noProof/>
          <w:lang w:val="en-IE" w:eastAsia="en-GB"/>
        </w:rPr>
        <w:t xml:space="preserve">he media regulator has fewer human resources despite an increase in tasks, with digitalisation efforts </w:t>
      </w:r>
      <w:r w:rsidR="00E97220">
        <w:rPr>
          <w:noProof/>
          <w:lang w:val="en-IE" w:eastAsia="en-GB"/>
        </w:rPr>
        <w:t>initiated</w:t>
      </w:r>
      <w:r w:rsidR="00C26BF0" w:rsidRPr="66C0A495">
        <w:rPr>
          <w:noProof/>
          <w:lang w:val="en-IE" w:eastAsia="en-GB"/>
        </w:rPr>
        <w:t xml:space="preserve"> in 2025</w:t>
      </w:r>
      <w:r w:rsidRPr="66C0A495">
        <w:rPr>
          <w:noProof/>
          <w:lang w:val="en-IE" w:eastAsia="en-GB"/>
        </w:rPr>
        <w:t xml:space="preserve"> progressing slowly. Self-regulation has still not been completely agreed upon by media actors. Initial steps have been taken on the reform to enhance independent governance and editorial independence of public service media. Transparency of media ownership continues to present limitations, and issues with access to information remain, pending discussions on a new Code of Administrative Procedures. The new Audiovisual Code legislates the financing of private media by political parties and state authorities</w:t>
      </w:r>
      <w:r w:rsidR="002E2422">
        <w:rPr>
          <w:noProof/>
          <w:lang w:val="en-IE" w:eastAsia="en-GB"/>
        </w:rPr>
        <w:t xml:space="preserve"> and </w:t>
      </w:r>
      <w:r w:rsidR="002E2422" w:rsidRPr="002E2422">
        <w:rPr>
          <w:noProof/>
          <w:lang w:eastAsia="en-GB"/>
        </w:rPr>
        <w:t>has led to a better marking of the type of content than in the past</w:t>
      </w:r>
      <w:r w:rsidRPr="66C0A495">
        <w:rPr>
          <w:noProof/>
          <w:lang w:val="en-IE" w:eastAsia="en-GB"/>
        </w:rPr>
        <w:t>, but certain related practices remain an issue. An anti-SLAPP law is in preparation, as</w:t>
      </w:r>
      <w:r w:rsidRPr="06236621">
        <w:rPr>
          <w:noProof/>
          <w:lang w:val="en-IE" w:eastAsia="en-GB"/>
        </w:rPr>
        <w:t xml:space="preserve"> </w:t>
      </w:r>
      <w:r w:rsidR="2CF4216A" w:rsidRPr="06236621">
        <w:rPr>
          <w:noProof/>
          <w:lang w:val="en-IE" w:eastAsia="en-GB"/>
        </w:rPr>
        <w:t>some</w:t>
      </w:r>
      <w:r w:rsidRPr="66C0A495">
        <w:rPr>
          <w:noProof/>
          <w:lang w:val="en-IE" w:eastAsia="en-GB"/>
        </w:rPr>
        <w:t xml:space="preserve"> </w:t>
      </w:r>
      <w:r w:rsidR="00667A06">
        <w:rPr>
          <w:noProof/>
          <w:lang w:val="en-IE" w:eastAsia="en-GB"/>
        </w:rPr>
        <w:t xml:space="preserve">further cases of </w:t>
      </w:r>
      <w:r w:rsidRPr="66C0A495">
        <w:rPr>
          <w:noProof/>
          <w:lang w:val="en-IE" w:eastAsia="en-GB"/>
        </w:rPr>
        <w:t>threats and instances of harassment of journalists</w:t>
      </w:r>
      <w:r w:rsidR="76BEBDD3" w:rsidRPr="06236621">
        <w:rPr>
          <w:noProof/>
          <w:lang w:val="en-IE" w:eastAsia="en-GB"/>
        </w:rPr>
        <w:t xml:space="preserve"> </w:t>
      </w:r>
      <w:r w:rsidR="6C700BB7" w:rsidRPr="5D3F48D2">
        <w:rPr>
          <w:noProof/>
          <w:lang w:val="en-IE" w:eastAsia="en-GB"/>
        </w:rPr>
        <w:t>have been</w:t>
      </w:r>
      <w:r w:rsidR="76BEBDD3" w:rsidRPr="06236621">
        <w:rPr>
          <w:noProof/>
          <w:lang w:val="en-IE" w:eastAsia="en-GB"/>
        </w:rPr>
        <w:t xml:space="preserve"> reported</w:t>
      </w:r>
      <w:r w:rsidRPr="66C0A495">
        <w:rPr>
          <w:noProof/>
          <w:lang w:val="en-IE" w:eastAsia="en-GB"/>
        </w:rPr>
        <w:t xml:space="preserve">. </w:t>
      </w:r>
    </w:p>
    <w:p w14:paraId="2DCCF106" w14:textId="6C1A365A" w:rsidR="003D13B0" w:rsidRPr="003D13B0" w:rsidRDefault="003D13B0" w:rsidP="003D13B0">
      <w:pPr>
        <w:pBdr>
          <w:top w:val="single" w:sz="4" w:space="1" w:color="auto"/>
          <w:left w:val="single" w:sz="4" w:space="4" w:color="auto"/>
          <w:bottom w:val="single" w:sz="4" w:space="17" w:color="auto"/>
          <w:right w:val="single" w:sz="4" w:space="4" w:color="auto"/>
        </w:pBdr>
        <w:rPr>
          <w:noProof/>
          <w:szCs w:val="22"/>
          <w:lang w:val="en-IE" w:eastAsia="en-GB"/>
        </w:rPr>
      </w:pPr>
      <w:r w:rsidRPr="003D13B0">
        <w:rPr>
          <w:noProof/>
          <w:lang w:val="en-IE" w:eastAsia="en-GB"/>
        </w:rPr>
        <w:t>Less government emergency ordinances were adopted in 2025 than in 2024 and steps have been taken for effective public consultations, while a number of shortcomings remain in practice. Legislative unpredictability driven by frequent amendments to legislation and a large number of draft laws pending in Parliament remain primary concerns for businesses and CSOs. A final decision is pending regarding the accreditation of National Human Rights Institutions. Actions planned in the framework of the Strategy for Open Government in Romania 2025-2030 remain to be implemented and CSOs report increasing restrictions to their work.</w:t>
      </w:r>
    </w:p>
    <w:p w14:paraId="03C24BA3" w14:textId="77777777" w:rsidR="0032180B" w:rsidRPr="00855ABF" w:rsidRDefault="0032180B" w:rsidP="0032180B">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t>Recommendations</w:t>
      </w:r>
    </w:p>
    <w:p w14:paraId="1F1D61BF" w14:textId="77777777" w:rsidR="00A11582" w:rsidRPr="00D16464" w:rsidRDefault="00A11582" w:rsidP="00A11582">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predictability and quality of decision-making, the Commission concludes the following: </w:t>
      </w:r>
    </w:p>
    <w:p w14:paraId="453B9974" w14:textId="77777777" w:rsidR="00A11582" w:rsidRPr="00D16464" w:rsidRDefault="00A11582" w:rsidP="00A11582">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1A7AD268"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The Justice Laws continue to be implemented</w:t>
      </w:r>
      <w:r>
        <w:rPr>
          <w:noProof/>
          <w:lang w:val="en-IE"/>
        </w:rPr>
        <w:t xml:space="preserve"> </w:t>
      </w:r>
      <w:r>
        <w:rPr>
          <w:noProof/>
          <w:lang w:val="en-IE" w:eastAsia="en-GB"/>
        </w:rPr>
        <w:t xml:space="preserve">and have contributed to improving the legislative framework for the independence and functioning of the judiciary, while a reflection on various aspects related to the judiciary has been put on hold following a decision of the High Court of Cassation and Justice. It is therefore recommended to Romania to </w:t>
      </w:r>
      <w:r>
        <w:rPr>
          <w:i/>
          <w:noProof/>
          <w:lang w:val="en-IE" w:eastAsia="en-GB"/>
        </w:rPr>
        <w:t>take forward the evaluation of the implementation of the Justice Laws in close consultation with relevant stakeholders, including as regards measures to further improve the effectiveness and governance of the judiciary</w:t>
      </w:r>
      <w:r>
        <w:rPr>
          <w:noProof/>
          <w:lang w:val="en-IE" w:eastAsia="en-GB"/>
        </w:rPr>
        <w:t>.</w:t>
      </w:r>
    </w:p>
    <w:p w14:paraId="74E69C65"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There has been no progress yet to strengthen safeguards to ensure the independence of high-ranking prosecutors and for the organisation and functioning of the judicial police, as the reflection on various aspects related to the judiciary has been put on hold. It is therefore recommended to Romania to </w:t>
      </w:r>
      <w:r>
        <w:rPr>
          <w:i/>
          <w:noProof/>
          <w:lang w:val="en-IE" w:eastAsia="en-GB"/>
        </w:rPr>
        <w:t>step up the legislative work to strengthen safeguards to ensure the independence of high-ranking prosecutors and for the organisation and functioning of the judicial police</w:t>
      </w:r>
      <w:r>
        <w:rPr>
          <w:noProof/>
          <w:lang w:val="en-IE" w:eastAsia="en-GB"/>
        </w:rPr>
        <w:t xml:space="preserve">. </w:t>
      </w:r>
    </w:p>
    <w:p w14:paraId="4E0ACCDF"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i/>
          <w:noProof/>
          <w:lang w:val="en-IE" w:eastAsia="en-GB"/>
        </w:rPr>
      </w:pPr>
      <w:r>
        <w:rPr>
          <w:rFonts w:eastAsia="Aptos" w:cs="Arial"/>
          <w:bCs/>
          <w:noProof/>
          <w:lang w:val="en-IE"/>
        </w:rPr>
        <w:t xml:space="preserve">There has been </w:t>
      </w:r>
      <w:r>
        <w:rPr>
          <w:rFonts w:eastAsia="Aptos" w:cs="Arial"/>
          <w:noProof/>
          <w:lang w:val="en-IE"/>
        </w:rPr>
        <w:t xml:space="preserve">no further progress to ensure the effective investigation and prosecution of corruption offenses in the judiciary, as no measures were taken to address remaining shortcomings. It is recommended to Romania to </w:t>
      </w:r>
      <w:r>
        <w:rPr>
          <w:rFonts w:eastAsia="Aptos" w:cs="Arial"/>
          <w:i/>
          <w:noProof/>
          <w:lang w:val="en-IE"/>
        </w:rPr>
        <w:t>take measures to ensure effective investigation and prosecution of criminal offences in the judiciary, including as regards corruption offences.</w:t>
      </w:r>
    </w:p>
    <w:p w14:paraId="0F625C5C"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200"/>
        <w:contextualSpacing/>
        <w:rPr>
          <w:noProof/>
          <w:szCs w:val="24"/>
          <w:lang w:val="en-IE" w:eastAsia="en-GB"/>
        </w:rPr>
      </w:pPr>
      <w:r>
        <w:rPr>
          <w:noProof/>
          <w:szCs w:val="24"/>
          <w:lang w:val="en-IE" w:eastAsia="en-GB"/>
        </w:rPr>
        <w:t xml:space="preserve">The recommendation to introduce rules on lobbying for members of Parliament has been fully implemented as a new law was adopted in November 2025 which obliges deputies and senators to register meetings with third parties on legislative initiatives. Some progress has been made to ensure the effectiveness of the asset declaration system, with a draft law which aims to update the existing integrity legal framework. Therefore, it is recommended to Romania to </w:t>
      </w:r>
      <w:r>
        <w:rPr>
          <w:i/>
          <w:noProof/>
          <w:szCs w:val="24"/>
          <w:lang w:val="en-IE" w:eastAsia="en-GB"/>
        </w:rPr>
        <w:t>complete the legislative process to ensure the effectiveness of the asset declaration system</w:t>
      </w:r>
      <w:r>
        <w:rPr>
          <w:noProof/>
          <w:szCs w:val="24"/>
          <w:lang w:val="en-IE" w:eastAsia="en-GB"/>
        </w:rPr>
        <w:t>.</w:t>
      </w:r>
    </w:p>
    <w:p w14:paraId="4B7DE4A0"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i/>
          <w:noProof/>
          <w:szCs w:val="24"/>
          <w:lang w:val="en-IE" w:eastAsia="en-GB"/>
        </w:rPr>
      </w:pPr>
      <w:r>
        <w:rPr>
          <w:rFonts w:eastAsia="Aptos" w:cs="Arial"/>
          <w:noProof/>
          <w:szCs w:val="24"/>
          <w:lang w:val="en-IE"/>
        </w:rPr>
        <w:t xml:space="preserve">Some further progress has been made on the frequent use of government emergency ordinances and effective public consultations, while a number of shortcomings remain in practice. It is therefore recommended to Romania to </w:t>
      </w:r>
      <w:r>
        <w:rPr>
          <w:rFonts w:eastAsia="Aptos" w:cs="Arial"/>
          <w:i/>
          <w:noProof/>
          <w:szCs w:val="24"/>
          <w:lang w:val="en-IE"/>
        </w:rPr>
        <w:t xml:space="preserve">step up efforts to address the frequent use of government emergency ordinances and to ensure effective public consultations before the adoption of legislation. </w:t>
      </w:r>
    </w:p>
    <w:p w14:paraId="4FDC5EF1" w14:textId="1515CBCD" w:rsidR="00E13C2E" w:rsidRDefault="00A11582" w:rsidP="00A11582">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lang w:val="en-GB"/>
        </w:rPr>
      </w:pPr>
      <w:r>
        <w:rPr>
          <w:rFonts w:eastAsia="Aptos" w:cs="Arial"/>
          <w:noProof/>
          <w:lang w:val="en-IE"/>
        </w:rPr>
        <w:t xml:space="preserve">There has been no progress on the accreditation of National Human Rights Institutions, as a decision remains pending, and the Government has not solved compliance issues with the Paris Principles of two organisations it proposed as National Human Rights Institutions. It is therefore recommended to Romania to </w:t>
      </w:r>
      <w:r>
        <w:rPr>
          <w:rFonts w:eastAsia="Aptos" w:cs="Arial"/>
          <w:i/>
          <w:noProof/>
          <w:lang w:val="en-IE"/>
        </w:rPr>
        <w:t>take forward the process for obtaining accreditation for the National Human Rights Institutions, taking into account the UN Paris Principles.</w:t>
      </w:r>
      <w:r>
        <w:rPr>
          <w:noProof/>
          <w:lang w:val="en-GB"/>
        </w:rPr>
        <w:t xml:space="preserve"> </w:t>
      </w:r>
    </w:p>
    <w:p w14:paraId="00384720" w14:textId="77777777" w:rsidR="00E13C2E" w:rsidRDefault="00E13C2E">
      <w:pPr>
        <w:spacing w:after="0"/>
        <w:jc w:val="left"/>
        <w:rPr>
          <w:rFonts w:eastAsiaTheme="minorHAnsi" w:cstheme="minorBidi"/>
          <w:noProof/>
          <w:szCs w:val="22"/>
          <w:lang w:eastAsia="en-US"/>
        </w:rPr>
      </w:pPr>
      <w:r>
        <w:rPr>
          <w:noProof/>
        </w:rPr>
        <w:br w:type="page"/>
      </w:r>
    </w:p>
    <w:p w14:paraId="6A67D278" w14:textId="77777777" w:rsidR="006C0E53" w:rsidRPr="00D16464" w:rsidRDefault="006C0E53" w:rsidP="006C0E53">
      <w:pPr>
        <w:pageBreakBefore/>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noProof/>
          <w:lang w:val="en-IE" w:eastAsia="en-GB"/>
        </w:rPr>
        <w:t xml:space="preserve">As regards </w:t>
      </w:r>
      <w:r>
        <w:rPr>
          <w:bCs/>
          <w:noProof/>
          <w:lang w:val="en-IE" w:eastAsia="en-GB"/>
        </w:rPr>
        <w:t xml:space="preserve">the </w:t>
      </w:r>
      <w:r>
        <w:rPr>
          <w:noProof/>
          <w:lang w:val="en-IE" w:eastAsia="en-GB"/>
        </w:rPr>
        <w:t>other 2025 recommendations, the Commission concludes that:</w:t>
      </w:r>
    </w:p>
    <w:p w14:paraId="2C0248A5" w14:textId="77777777" w:rsidR="006C0E53" w:rsidRPr="00D16464" w:rsidRDefault="006C0E53" w:rsidP="006C0E53">
      <w:pPr>
        <w:pBdr>
          <w:top w:val="single" w:sz="4" w:space="1" w:color="auto"/>
          <w:left w:val="single" w:sz="4" w:space="4" w:color="auto"/>
          <w:bottom w:val="single" w:sz="4" w:space="17" w:color="auto"/>
          <w:right w:val="single" w:sz="4" w:space="4" w:color="auto"/>
        </w:pBdr>
        <w:spacing w:after="200"/>
        <w:contextualSpacing/>
        <w:rPr>
          <w:noProof/>
          <w:lang w:val="en-IE" w:eastAsia="en-GB"/>
        </w:rPr>
      </w:pPr>
    </w:p>
    <w:p w14:paraId="72E6A35B" w14:textId="5CF96717" w:rsidR="0032180B" w:rsidRPr="00ED63BB" w:rsidRDefault="006C0E53" w:rsidP="00ED63BB">
      <w:pPr>
        <w:numPr>
          <w:ilvl w:val="0"/>
          <w:numId w:val="25"/>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szCs w:val="24"/>
          <w:lang w:val="en-IE" w:eastAsia="en-GB"/>
        </w:rPr>
        <w:t>Limited progress has been made strengthening the rules and mechanisms to enhance the independent governance and editorial independence of public service media, in light of the establishment of an interministerial working group on the matter. Given that the topics of this recommendation are covered by the provisions of the European Media Freedom Act (EMFA), while the Rule of Law Report will continue to monitor significant developments and report on their impact, further follow-up will be ensured as part of the Commission’s support to Member States and enforcement of the EMFA.</w:t>
      </w:r>
    </w:p>
    <w:bookmarkEnd w:id="2"/>
    <w:p w14:paraId="54331C44" w14:textId="77777777" w:rsidR="0032180B" w:rsidRDefault="0032180B" w:rsidP="0032180B">
      <w:pPr>
        <w:spacing w:after="0"/>
        <w:jc w:val="left"/>
        <w:rPr>
          <w:noProof/>
          <w:lang w:val="en-IE" w:eastAsia="en-GB"/>
        </w:rPr>
      </w:pPr>
      <w:r>
        <w:rPr>
          <w:noProof/>
          <w:lang w:val="en-IE" w:eastAsia="en-GB"/>
        </w:rPr>
        <w:br w:type="page"/>
      </w:r>
    </w:p>
    <w:p w14:paraId="2A472D8D" w14:textId="5EDDFC5A" w:rsidR="003D13B0" w:rsidRPr="0032180B" w:rsidRDefault="003D13B0" w:rsidP="00890B45">
      <w:pPr>
        <w:pStyle w:val="ListParagraph"/>
        <w:keepNext/>
        <w:numPr>
          <w:ilvl w:val="0"/>
          <w:numId w:val="32"/>
        </w:numPr>
        <w:outlineLvl w:val="0"/>
        <w:rPr>
          <w:b/>
          <w:smallCaps/>
          <w:noProof/>
          <w:szCs w:val="24"/>
          <w:u w:val="single"/>
          <w:lang w:val="en-IE" w:eastAsia="fr-FR"/>
        </w:rPr>
      </w:pPr>
      <w:r w:rsidRPr="0032180B">
        <w:rPr>
          <w:b/>
          <w:smallCaps/>
          <w:noProof/>
          <w:szCs w:val="24"/>
          <w:u w:val="single"/>
          <w:lang w:val="en-IE" w:eastAsia="fr-FR"/>
        </w:rPr>
        <w:t>Justice System</w:t>
      </w:r>
      <w:r w:rsidR="00890B45">
        <w:rPr>
          <w:rStyle w:val="FootnoteReference"/>
          <w:b/>
          <w:smallCaps/>
          <w:noProof/>
          <w:szCs w:val="24"/>
          <w:u w:val="single"/>
          <w:lang w:val="en-IE" w:eastAsia="fr-FR"/>
        </w:rPr>
        <w:footnoteReference w:id="1"/>
      </w:r>
    </w:p>
    <w:p w14:paraId="07AB40CF" w14:textId="3D0AA0E4" w:rsidR="003D13B0" w:rsidRPr="003D13B0" w:rsidRDefault="003D13B0" w:rsidP="003D13B0">
      <w:pPr>
        <w:keepNext/>
        <w:outlineLvl w:val="1"/>
        <w:rPr>
          <w:b/>
          <w:noProof/>
          <w:szCs w:val="24"/>
          <w:lang w:val="en-IE" w:eastAsia="en-GB"/>
        </w:rPr>
      </w:pPr>
      <w:r w:rsidRPr="003D13B0">
        <w:rPr>
          <w:b/>
          <w:noProof/>
          <w:szCs w:val="24"/>
          <w:lang w:val="en-IE" w:eastAsia="en-GB"/>
        </w:rPr>
        <w:t>Independence</w:t>
      </w:r>
    </w:p>
    <w:p w14:paraId="4FE1FCB8" w14:textId="2B5778A1" w:rsidR="003D13B0" w:rsidRPr="003D13B0" w:rsidRDefault="003D13B0" w:rsidP="003D13B0">
      <w:pPr>
        <w:rPr>
          <w:rFonts w:eastAsiaTheme="minorHAnsi"/>
          <w:noProof/>
          <w:szCs w:val="24"/>
          <w:lang w:val="en-US" w:eastAsia="en-US"/>
        </w:rPr>
      </w:pPr>
      <w:r w:rsidRPr="003D13B0">
        <w:rPr>
          <w:rFonts w:eastAsiaTheme="minorHAnsi"/>
          <w:b/>
          <w:bCs/>
          <w:noProof/>
          <w:szCs w:val="24"/>
          <w:lang w:val="en-US" w:eastAsia="en-US"/>
        </w:rPr>
        <w:t xml:space="preserve">The level of perceived judicial independence in Romania continues to be average among both the general public </w:t>
      </w:r>
      <w:r w:rsidRPr="003D13B0">
        <w:rPr>
          <w:rFonts w:eastAsiaTheme="minorHAnsi"/>
          <w:b/>
          <w:noProof/>
          <w:szCs w:val="24"/>
          <w:lang w:val="en-US" w:eastAsia="en-US"/>
        </w:rPr>
        <w:t>and</w:t>
      </w:r>
      <w:r w:rsidRPr="003D13B0">
        <w:rPr>
          <w:rFonts w:eastAsiaTheme="minorHAnsi"/>
          <w:b/>
          <w:bCs/>
          <w:noProof/>
          <w:szCs w:val="24"/>
          <w:lang w:val="en-US" w:eastAsia="en-US"/>
        </w:rPr>
        <w:t xml:space="preserve"> companies</w:t>
      </w:r>
      <w:r w:rsidRPr="003D13B0">
        <w:rPr>
          <w:rFonts w:eastAsiaTheme="minorHAnsi"/>
          <w:noProof/>
          <w:szCs w:val="24"/>
          <w:lang w:val="en-US" w:eastAsia="en-US"/>
        </w:rPr>
        <w:t>. Overall, 41% of the general population and 43% of companies perceive the level of independence of courts and judges to be ‘fairly or very good’ in 2026</w:t>
      </w:r>
      <w:r w:rsidRPr="003D13B0">
        <w:rPr>
          <w:rFonts w:eastAsiaTheme="minorHAnsi"/>
          <w:noProof/>
          <w:szCs w:val="24"/>
          <w:vertAlign w:val="superscript"/>
          <w:lang w:val="en-US" w:eastAsia="en-US"/>
        </w:rPr>
        <w:footnoteReference w:id="2"/>
      </w:r>
      <w:r w:rsidRPr="003D13B0">
        <w:rPr>
          <w:rFonts w:eastAsiaTheme="minorHAnsi"/>
          <w:noProof/>
          <w:szCs w:val="24"/>
          <w:lang w:val="en-US" w:eastAsia="en-US"/>
        </w:rPr>
        <w:t>. The perceived judicial independence among the general public has slightly decreased in comparison with 2025 (44%) and has significantly decreased in comparison with 2022 (48%). The perceived judicial independence among companies has significantly decreased in comparison with 2025 (51%) and has decreased in comparison with 2022 (49%)</w:t>
      </w:r>
      <w:r w:rsidRPr="003D13B0">
        <w:rPr>
          <w:noProof/>
          <w:vertAlign w:val="superscript"/>
          <w:lang w:val="en-IE" w:eastAsia="fr-FR"/>
        </w:rPr>
        <w:footnoteReference w:id="3"/>
      </w:r>
      <w:r w:rsidRPr="003D13B0">
        <w:rPr>
          <w:noProof/>
          <w:szCs w:val="22"/>
          <w:lang w:val="en-IE" w:eastAsia="fr-FR"/>
        </w:rPr>
        <w:t xml:space="preserve">. </w:t>
      </w:r>
    </w:p>
    <w:p w14:paraId="2BA90F8A" w14:textId="02DC0F57" w:rsidR="003D13B0" w:rsidRPr="003E2D9E" w:rsidRDefault="003D13B0" w:rsidP="003D13B0">
      <w:pPr>
        <w:spacing w:after="200"/>
        <w:rPr>
          <w:rFonts w:eastAsiaTheme="minorHAnsi" w:cstheme="minorBidi"/>
          <w:noProof/>
          <w:szCs w:val="22"/>
          <w:lang w:val="en-IE" w:eastAsia="en-US"/>
        </w:rPr>
      </w:pPr>
      <w:r w:rsidRPr="003D13B0">
        <w:rPr>
          <w:rFonts w:eastAsiaTheme="minorHAnsi" w:cstheme="minorBidi"/>
          <w:b/>
          <w:noProof/>
          <w:szCs w:val="22"/>
          <w:lang w:val="en-IE" w:eastAsia="en-US"/>
        </w:rPr>
        <w:t xml:space="preserve">The Justice Laws continue to be implemented, while a reflection on various aspects related to the judiciary has been put on hold following a decision of the High Court of Cassation and Justice. </w:t>
      </w:r>
      <w:r w:rsidRPr="003D13B0">
        <w:rPr>
          <w:rFonts w:eastAsiaTheme="minorHAnsi" w:cstheme="minorBidi"/>
          <w:bCs/>
          <w:noProof/>
          <w:szCs w:val="22"/>
          <w:lang w:val="en-US" w:eastAsia="en-US"/>
        </w:rPr>
        <w:t>The Justice Laws adopted in 2022 have contributed to improving the legislative framework for the independence and functioning of the judiciary and corrected the amendments to these laws of 2018 and 2019, which had a serious impact on the independence, quality and efficiency of the justice system</w:t>
      </w:r>
      <w:r w:rsidRPr="003D13B0">
        <w:rPr>
          <w:rFonts w:eastAsiaTheme="minorHAnsi" w:cstheme="minorBidi"/>
          <w:bCs/>
          <w:noProof/>
          <w:szCs w:val="22"/>
          <w:vertAlign w:val="superscript"/>
          <w:lang w:val="en-US" w:eastAsia="en-US"/>
        </w:rPr>
        <w:footnoteReference w:id="4"/>
      </w:r>
      <w:r w:rsidRPr="003D13B0">
        <w:rPr>
          <w:rFonts w:eastAsiaTheme="minorHAnsi" w:cstheme="minorBidi"/>
          <w:bCs/>
          <w:noProof/>
          <w:szCs w:val="22"/>
          <w:lang w:val="en-US" w:eastAsia="en-US"/>
        </w:rPr>
        <w:t>. Based on the experience gained with implementation since the adoption of the</w:t>
      </w:r>
      <w:r w:rsidRPr="003D13B0">
        <w:rPr>
          <w:rFonts w:eastAsiaTheme="minorHAnsi" w:cstheme="minorBidi"/>
          <w:noProof/>
          <w:szCs w:val="22"/>
          <w:lang w:val="en-US" w:eastAsia="en-US"/>
        </w:rPr>
        <w:t xml:space="preserve"> </w:t>
      </w:r>
      <w:r w:rsidRPr="003D13B0">
        <w:rPr>
          <w:rFonts w:eastAsiaTheme="minorHAnsi" w:cstheme="minorBidi"/>
          <w:bCs/>
          <w:noProof/>
          <w:szCs w:val="22"/>
          <w:lang w:val="en-US" w:eastAsia="en-US"/>
        </w:rPr>
        <w:t>Justice Laws, further legislative adjustments may be required to address remaining concerns related to judicial governance, career management and institutional safeguards, and the authorities deemed that an evaluation should be considered after a sufficient period of time since the adoption of the Justice Laws</w:t>
      </w:r>
      <w:r w:rsidRPr="003D13B0">
        <w:rPr>
          <w:rFonts w:eastAsiaTheme="minorHAnsi" w:cstheme="minorBidi"/>
          <w:bCs/>
          <w:noProof/>
          <w:szCs w:val="22"/>
          <w:vertAlign w:val="superscript"/>
          <w:lang w:val="en-US" w:eastAsia="en-US"/>
        </w:rPr>
        <w:footnoteReference w:id="5"/>
      </w:r>
      <w:r w:rsidRPr="003D13B0">
        <w:rPr>
          <w:rFonts w:eastAsiaTheme="minorHAnsi" w:cstheme="minorBidi"/>
          <w:bCs/>
          <w:noProof/>
          <w:szCs w:val="22"/>
          <w:lang w:val="en-US" w:eastAsia="en-US"/>
        </w:rPr>
        <w:t>.</w:t>
      </w:r>
      <w:r w:rsidRPr="003D13B0">
        <w:rPr>
          <w:rFonts w:eastAsiaTheme="minorHAnsi" w:cstheme="minorBidi"/>
          <w:b/>
          <w:i/>
          <w:iCs/>
          <w:noProof/>
          <w:szCs w:val="22"/>
          <w:lang w:val="en-US" w:eastAsia="en-US"/>
        </w:rPr>
        <w:t xml:space="preserve"> </w:t>
      </w:r>
      <w:r w:rsidRPr="003D13B0">
        <w:rPr>
          <w:rFonts w:eastAsiaTheme="minorHAnsi" w:cstheme="minorBidi"/>
          <w:noProof/>
          <w:szCs w:val="22"/>
          <w:lang w:val="en-IE" w:eastAsia="en-US"/>
        </w:rPr>
        <w:t>Following public debates on concerns raised within the judiciary in December 2025</w:t>
      </w:r>
      <w:r w:rsidRPr="003D13B0">
        <w:rPr>
          <w:rFonts w:eastAsiaTheme="minorHAnsi" w:cstheme="minorBidi"/>
          <w:noProof/>
          <w:szCs w:val="22"/>
          <w:vertAlign w:val="superscript"/>
          <w:lang w:val="en-IE" w:eastAsia="en-US"/>
        </w:rPr>
        <w:footnoteReference w:id="6"/>
      </w:r>
      <w:r w:rsidRPr="003D13B0">
        <w:rPr>
          <w:rFonts w:eastAsiaTheme="minorHAnsi" w:cstheme="minorBidi"/>
          <w:noProof/>
          <w:szCs w:val="22"/>
          <w:lang w:val="en-IE" w:eastAsia="en-US"/>
        </w:rPr>
        <w:t xml:space="preserve">, the President of </w:t>
      </w:r>
      <w:r w:rsidR="00A03ACD">
        <w:rPr>
          <w:rFonts w:eastAsiaTheme="minorHAnsi" w:cstheme="minorBidi"/>
          <w:noProof/>
          <w:szCs w:val="22"/>
          <w:lang w:val="en-IE" w:eastAsia="en-US"/>
        </w:rPr>
        <w:t>Romania</w:t>
      </w:r>
      <w:r w:rsidRPr="003D13B0">
        <w:rPr>
          <w:rFonts w:eastAsiaTheme="minorHAnsi" w:cstheme="minorBidi"/>
          <w:noProof/>
          <w:szCs w:val="22"/>
          <w:lang w:val="en-IE" w:eastAsia="en-US"/>
        </w:rPr>
        <w:t xml:space="preserve"> invited magistrates to share their views on the </w:t>
      </w:r>
      <w:r w:rsidRPr="003D13B0">
        <w:rPr>
          <w:rFonts w:eastAsiaTheme="minorHAnsi" w:cstheme="minorBidi"/>
          <w:noProof/>
          <w:szCs w:val="22"/>
          <w:lang w:val="en-US" w:eastAsia="en-US"/>
        </w:rPr>
        <w:t>functioning of justice, the independence of magistrates and the mechanisms regarding their career</w:t>
      </w:r>
      <w:r w:rsidRPr="003D13B0">
        <w:rPr>
          <w:rFonts w:eastAsiaTheme="minorHAnsi" w:cstheme="minorBidi"/>
          <w:noProof/>
          <w:szCs w:val="22"/>
          <w:vertAlign w:val="superscript"/>
          <w:lang w:val="en-IE" w:eastAsia="en-US"/>
        </w:rPr>
        <w:footnoteReference w:id="7"/>
      </w:r>
      <w:r w:rsidRPr="003D13B0">
        <w:rPr>
          <w:rFonts w:eastAsiaTheme="minorHAnsi" w:cstheme="minorBidi"/>
          <w:noProof/>
          <w:szCs w:val="22"/>
          <w:lang w:val="en-IE" w:eastAsia="en-US"/>
        </w:rPr>
        <w:t>. In parallel, the Prime Minister set up a Committee to look at avenues to improve the effectiveness of the judiciary</w:t>
      </w:r>
      <w:r w:rsidRPr="003D13B0">
        <w:rPr>
          <w:rFonts w:eastAsiaTheme="minorHAnsi" w:cstheme="minorBidi"/>
          <w:noProof/>
          <w:szCs w:val="22"/>
          <w:vertAlign w:val="superscript"/>
          <w:lang w:val="en-IE" w:eastAsia="en-US"/>
        </w:rPr>
        <w:footnoteReference w:id="8"/>
      </w:r>
      <w:r w:rsidRPr="003D13B0">
        <w:rPr>
          <w:rFonts w:eastAsiaTheme="minorHAnsi" w:cstheme="minorBidi"/>
          <w:noProof/>
          <w:szCs w:val="22"/>
          <w:lang w:val="en-IE" w:eastAsia="en-US"/>
        </w:rPr>
        <w:t>, in particular through the review and possible amendments of the Justice Laws. The Committee discussed</w:t>
      </w:r>
      <w:r w:rsidRPr="003D13B0">
        <w:rPr>
          <w:rFonts w:eastAsiaTheme="minorHAnsi" w:cstheme="minorBidi"/>
          <w:noProof/>
          <w:szCs w:val="22"/>
          <w:vertAlign w:val="superscript"/>
          <w:lang w:val="en-IE" w:eastAsia="en-US"/>
        </w:rPr>
        <w:footnoteReference w:id="9"/>
      </w:r>
      <w:r w:rsidRPr="003D13B0">
        <w:rPr>
          <w:rFonts w:eastAsiaTheme="minorHAnsi" w:cstheme="minorBidi"/>
          <w:noProof/>
          <w:szCs w:val="22"/>
          <w:lang w:val="en-IE" w:eastAsia="en-US"/>
        </w:rPr>
        <w:t xml:space="preserve"> the concerns raised by magistrates, in particular as regards the high number of delegations of judges, including to management positions in courts</w:t>
      </w:r>
      <w:r w:rsidRPr="003D13B0">
        <w:rPr>
          <w:rFonts w:eastAsiaTheme="minorHAnsi" w:cstheme="minorBidi"/>
          <w:noProof/>
          <w:szCs w:val="22"/>
          <w:vertAlign w:val="superscript"/>
          <w:lang w:val="en-IE" w:eastAsia="en-US"/>
        </w:rPr>
        <w:footnoteReference w:id="10"/>
      </w:r>
      <w:r w:rsidRPr="003D13B0">
        <w:rPr>
          <w:rFonts w:eastAsiaTheme="minorHAnsi" w:cstheme="minorBidi"/>
          <w:noProof/>
          <w:szCs w:val="22"/>
          <w:lang w:val="en-IE" w:eastAsia="en-US"/>
        </w:rPr>
        <w:t>; the withdrawal of cases from judges, sometimes without their consent</w:t>
      </w:r>
      <w:r w:rsidRPr="003D13B0">
        <w:rPr>
          <w:rFonts w:eastAsiaTheme="minorHAnsi" w:cstheme="minorBidi"/>
          <w:noProof/>
          <w:szCs w:val="22"/>
          <w:vertAlign w:val="superscript"/>
          <w:lang w:val="en-IE" w:eastAsia="en-US"/>
        </w:rPr>
        <w:footnoteReference w:id="11"/>
      </w:r>
      <w:r w:rsidRPr="003D13B0">
        <w:rPr>
          <w:rFonts w:eastAsiaTheme="minorHAnsi" w:cstheme="minorBidi"/>
          <w:noProof/>
          <w:szCs w:val="22"/>
          <w:lang w:val="en-IE" w:eastAsia="en-US"/>
        </w:rPr>
        <w:t>; the number of secondments of judges to other courts or panels, sometimes without their consent</w:t>
      </w:r>
      <w:r w:rsidRPr="003D13B0">
        <w:rPr>
          <w:rFonts w:eastAsiaTheme="minorHAnsi" w:cstheme="minorBidi"/>
          <w:noProof/>
          <w:szCs w:val="22"/>
          <w:vertAlign w:val="superscript"/>
          <w:lang w:val="en-IE" w:eastAsia="en-US"/>
        </w:rPr>
        <w:footnoteReference w:id="12"/>
      </w:r>
      <w:r w:rsidRPr="003D13B0">
        <w:rPr>
          <w:rFonts w:eastAsiaTheme="minorHAnsi" w:cstheme="minorBidi"/>
          <w:noProof/>
          <w:szCs w:val="22"/>
          <w:lang w:val="en-IE" w:eastAsia="en-US"/>
        </w:rPr>
        <w:t>; the procedure for high-level nominations and promotions of judges and prosecutors</w:t>
      </w:r>
      <w:r w:rsidRPr="003D13B0">
        <w:rPr>
          <w:rFonts w:eastAsiaTheme="minorHAnsi" w:cstheme="minorBidi"/>
          <w:noProof/>
          <w:szCs w:val="22"/>
          <w:vertAlign w:val="superscript"/>
          <w:lang w:val="en-IE" w:eastAsia="en-US"/>
        </w:rPr>
        <w:footnoteReference w:id="13"/>
      </w:r>
      <w:r w:rsidRPr="003D13B0">
        <w:rPr>
          <w:rFonts w:eastAsiaTheme="minorHAnsi" w:cstheme="minorBidi"/>
          <w:noProof/>
          <w:szCs w:val="22"/>
          <w:lang w:val="en-IE" w:eastAsia="en-US"/>
        </w:rPr>
        <w:t>; the composition of courts’ governing boards</w:t>
      </w:r>
      <w:r w:rsidRPr="003D13B0">
        <w:rPr>
          <w:rFonts w:eastAsiaTheme="minorHAnsi" w:cstheme="minorBidi"/>
          <w:noProof/>
          <w:szCs w:val="22"/>
          <w:vertAlign w:val="superscript"/>
          <w:lang w:val="en-IE" w:eastAsia="en-US"/>
        </w:rPr>
        <w:footnoteReference w:id="14"/>
      </w:r>
      <w:r w:rsidRPr="003D13B0">
        <w:rPr>
          <w:rFonts w:eastAsiaTheme="minorHAnsi" w:cstheme="minorBidi"/>
          <w:noProof/>
          <w:szCs w:val="22"/>
          <w:lang w:val="en-IE" w:eastAsia="en-US"/>
        </w:rPr>
        <w:t>; and the composition and representativity of the Superior Council of Magistracy (SCM)</w:t>
      </w:r>
      <w:r w:rsidRPr="003D13B0">
        <w:rPr>
          <w:rFonts w:eastAsiaTheme="minorHAnsi" w:cstheme="minorBidi"/>
          <w:noProof/>
          <w:szCs w:val="22"/>
          <w:vertAlign w:val="superscript"/>
          <w:lang w:val="en-IE" w:eastAsia="en-US"/>
        </w:rPr>
        <w:footnoteReference w:id="15"/>
      </w:r>
      <w:r w:rsidRPr="003D13B0">
        <w:rPr>
          <w:rFonts w:eastAsiaTheme="minorHAnsi" w:cstheme="minorBidi"/>
          <w:noProof/>
          <w:szCs w:val="22"/>
          <w:lang w:val="en-IE" w:eastAsia="en-US"/>
        </w:rPr>
        <w:t xml:space="preserve">. Magistrates’ associations and CSOs had highlighted that the set-up of the Committee provided a timely opportunity to evaluate the implementation of the Justice Laws in light of European standards and in close consultation with relevant stakeholders and with the Venice </w:t>
      </w:r>
      <w:r w:rsidRPr="00774B83">
        <w:rPr>
          <w:rFonts w:eastAsiaTheme="minorHAnsi" w:cstheme="minorBidi"/>
          <w:noProof/>
          <w:szCs w:val="22"/>
          <w:lang w:val="en-IE" w:eastAsia="en-US"/>
        </w:rPr>
        <w:t>Commission</w:t>
      </w:r>
      <w:r w:rsidRPr="00147D43">
        <w:rPr>
          <w:rFonts w:eastAsiaTheme="minorHAnsi" w:cstheme="minorBidi"/>
          <w:noProof/>
          <w:szCs w:val="22"/>
          <w:vertAlign w:val="superscript"/>
          <w:lang w:val="en-IE" w:eastAsia="en-US"/>
        </w:rPr>
        <w:footnoteReference w:id="16"/>
      </w:r>
      <w:r w:rsidR="00C879B0" w:rsidRPr="00147D43">
        <w:rPr>
          <w:rFonts w:eastAsiaTheme="minorHAnsi" w:cstheme="minorBidi"/>
          <w:noProof/>
          <w:szCs w:val="22"/>
          <w:lang w:val="en-IE" w:eastAsia="en-US"/>
        </w:rPr>
        <w:t xml:space="preserve">. </w:t>
      </w:r>
      <w:r w:rsidRPr="00147D43">
        <w:rPr>
          <w:rFonts w:eastAsiaTheme="minorHAnsi" w:cstheme="minorBidi"/>
          <w:noProof/>
          <w:szCs w:val="22"/>
          <w:lang w:val="en-IE" w:eastAsia="en-US"/>
        </w:rPr>
        <w:t>In a decision</w:t>
      </w:r>
      <w:r w:rsidRPr="003D13B0">
        <w:rPr>
          <w:rFonts w:eastAsiaTheme="minorHAnsi" w:cstheme="minorBidi"/>
          <w:noProof/>
          <w:szCs w:val="22"/>
          <w:lang w:val="en-IE" w:eastAsia="en-US"/>
        </w:rPr>
        <w:t xml:space="preserve"> of 25 March</w:t>
      </w:r>
      <w:r w:rsidR="005C55D7">
        <w:rPr>
          <w:rFonts w:eastAsiaTheme="minorHAnsi" w:cstheme="minorBidi"/>
          <w:noProof/>
          <w:szCs w:val="22"/>
          <w:lang w:val="en-IE" w:eastAsia="en-US"/>
        </w:rPr>
        <w:t xml:space="preserve"> 2026</w:t>
      </w:r>
      <w:r w:rsidRPr="003D13B0">
        <w:rPr>
          <w:rFonts w:eastAsiaTheme="minorHAnsi" w:cstheme="minorBidi"/>
          <w:noProof/>
          <w:szCs w:val="22"/>
          <w:lang w:val="en-IE" w:eastAsia="en-US"/>
        </w:rPr>
        <w:t xml:space="preserve">, the High Court of Cassation and Justice (HCCJ) however suspended the decision that set up the Committee. As a consequence, the </w:t>
      </w:r>
      <w:r w:rsidRPr="003E2D9E">
        <w:rPr>
          <w:rFonts w:eastAsiaTheme="minorHAnsi" w:cstheme="minorBidi"/>
          <w:noProof/>
          <w:szCs w:val="22"/>
          <w:lang w:val="en-IE" w:eastAsia="en-US"/>
        </w:rPr>
        <w:t>Committee’s work was put on hold</w:t>
      </w:r>
      <w:r w:rsidRPr="003E2D9E">
        <w:rPr>
          <w:rFonts w:eastAsiaTheme="minorHAnsi" w:cstheme="minorBidi"/>
          <w:noProof/>
          <w:szCs w:val="22"/>
          <w:vertAlign w:val="superscript"/>
          <w:lang w:val="en-IE" w:eastAsia="en-US"/>
        </w:rPr>
        <w:footnoteReference w:id="17"/>
      </w:r>
      <w:r w:rsidRPr="003E2D9E">
        <w:rPr>
          <w:rFonts w:eastAsiaTheme="minorHAnsi" w:cstheme="minorBidi"/>
          <w:noProof/>
          <w:szCs w:val="22"/>
          <w:lang w:val="en-IE" w:eastAsia="en-US"/>
        </w:rPr>
        <w:t>.</w:t>
      </w:r>
      <w:r w:rsidR="00147D43" w:rsidRPr="003E2D9E">
        <w:rPr>
          <w:rFonts w:eastAsiaTheme="minorHAnsi" w:cstheme="minorBidi"/>
          <w:noProof/>
          <w:szCs w:val="22"/>
          <w:lang w:val="en-IE" w:eastAsia="en-US"/>
        </w:rPr>
        <w:t xml:space="preserve"> In July 2026, the </w:t>
      </w:r>
      <w:r w:rsidR="00427433" w:rsidRPr="003E2D9E">
        <w:rPr>
          <w:rFonts w:eastAsiaTheme="minorHAnsi" w:cstheme="minorBidi"/>
          <w:noProof/>
          <w:szCs w:val="22"/>
          <w:lang w:val="en-IE" w:eastAsia="en-US"/>
        </w:rPr>
        <w:t>Government published the Committee’s</w:t>
      </w:r>
      <w:r w:rsidR="00147D43" w:rsidRPr="003E2D9E">
        <w:rPr>
          <w:rFonts w:eastAsiaTheme="minorHAnsi" w:cstheme="minorBidi"/>
          <w:noProof/>
          <w:szCs w:val="22"/>
          <w:lang w:val="en-IE" w:eastAsia="en-US"/>
        </w:rPr>
        <w:t xml:space="preserve"> report</w:t>
      </w:r>
      <w:r w:rsidR="00E1789D" w:rsidRPr="003E2D9E">
        <w:rPr>
          <w:rFonts w:eastAsiaTheme="minorHAnsi" w:cstheme="minorBidi"/>
          <w:noProof/>
          <w:szCs w:val="22"/>
          <w:lang w:val="en-IE" w:eastAsia="en-US"/>
        </w:rPr>
        <w:t>, which</w:t>
      </w:r>
      <w:r w:rsidR="00147D43" w:rsidRPr="003E2D9E">
        <w:rPr>
          <w:rFonts w:eastAsiaTheme="minorHAnsi" w:cstheme="minorBidi"/>
          <w:noProof/>
          <w:szCs w:val="22"/>
          <w:lang w:val="en-IE" w:eastAsia="en-US"/>
        </w:rPr>
        <w:t xml:space="preserve"> </w:t>
      </w:r>
      <w:r w:rsidR="00E1789D" w:rsidRPr="003E2D9E">
        <w:rPr>
          <w:rFonts w:eastAsiaTheme="minorHAnsi" w:cstheme="minorBidi"/>
          <w:noProof/>
          <w:szCs w:val="22"/>
          <w:lang w:val="en-IE" w:eastAsia="en-US"/>
        </w:rPr>
        <w:t>includes</w:t>
      </w:r>
      <w:r w:rsidR="00147D43" w:rsidRPr="003E2D9E">
        <w:rPr>
          <w:rFonts w:eastAsiaTheme="minorHAnsi" w:cstheme="minorBidi"/>
          <w:noProof/>
          <w:szCs w:val="22"/>
          <w:lang w:val="en-IE" w:eastAsia="en-US"/>
        </w:rPr>
        <w:t xml:space="preserve"> recommendations to improve the situation in the </w:t>
      </w:r>
      <w:r w:rsidR="00962500">
        <w:rPr>
          <w:rFonts w:eastAsiaTheme="minorHAnsi" w:cstheme="minorBidi"/>
          <w:noProof/>
          <w:szCs w:val="22"/>
          <w:lang w:val="en-IE" w:eastAsia="en-US"/>
        </w:rPr>
        <w:t>j</w:t>
      </w:r>
      <w:r w:rsidR="00147D43" w:rsidRPr="003E2D9E">
        <w:rPr>
          <w:rFonts w:eastAsiaTheme="minorHAnsi" w:cstheme="minorBidi"/>
          <w:noProof/>
          <w:szCs w:val="22"/>
          <w:lang w:val="en-IE" w:eastAsia="en-US"/>
        </w:rPr>
        <w:t>udiciary, including through an evaluation and possible revision of the Justice Laws</w:t>
      </w:r>
      <w:r w:rsidR="00147D43" w:rsidRPr="003E2D9E">
        <w:rPr>
          <w:rStyle w:val="FootnoteReference"/>
          <w:rFonts w:eastAsiaTheme="minorHAnsi" w:cstheme="minorBidi"/>
          <w:noProof/>
          <w:szCs w:val="22"/>
          <w:lang w:val="en-IE" w:eastAsia="en-US"/>
        </w:rPr>
        <w:footnoteReference w:id="18"/>
      </w:r>
      <w:r w:rsidR="00147D43" w:rsidRPr="003E2D9E">
        <w:rPr>
          <w:rFonts w:eastAsiaTheme="minorHAnsi" w:cstheme="minorBidi"/>
          <w:noProof/>
          <w:szCs w:val="22"/>
          <w:lang w:val="en-IE" w:eastAsia="en-US"/>
        </w:rPr>
        <w:t>.</w:t>
      </w:r>
    </w:p>
    <w:p w14:paraId="0FC5DBCE" w14:textId="2F97DAFD" w:rsidR="003D13B0" w:rsidRPr="003D13B0" w:rsidRDefault="003D13B0" w:rsidP="003D13B0">
      <w:pPr>
        <w:spacing w:after="200"/>
        <w:rPr>
          <w:rFonts w:eastAsiaTheme="minorHAnsi" w:cstheme="minorBidi"/>
          <w:noProof/>
          <w:szCs w:val="22"/>
          <w:lang w:val="en-IE" w:eastAsia="en-US"/>
        </w:rPr>
      </w:pPr>
      <w:r w:rsidRPr="003E2D9E">
        <w:rPr>
          <w:rFonts w:eastAsiaTheme="minorHAnsi" w:cstheme="minorBidi"/>
          <w:b/>
          <w:noProof/>
          <w:szCs w:val="22"/>
          <w:lang w:val="en-IE" w:eastAsia="en-US"/>
        </w:rPr>
        <w:t>No progress has been made yet on the recommendation</w:t>
      </w:r>
      <w:r w:rsidRPr="003D13B0">
        <w:rPr>
          <w:rFonts w:eastAsiaTheme="minorHAnsi" w:cstheme="minorBidi"/>
          <w:b/>
          <w:noProof/>
          <w:szCs w:val="22"/>
          <w:lang w:val="en-IE" w:eastAsia="en-US"/>
        </w:rPr>
        <w:t xml:space="preserve"> on strengthening safeguards for the </w:t>
      </w:r>
      <w:r w:rsidRPr="003D13B0">
        <w:rPr>
          <w:rFonts w:eastAsiaTheme="minorHAnsi" w:cstheme="minorBidi"/>
          <w:b/>
          <w:bCs/>
          <w:noProof/>
          <w:szCs w:val="22"/>
          <w:lang w:val="en-IE" w:eastAsia="en-US"/>
        </w:rPr>
        <w:t xml:space="preserve">independence of high-ranking prosecutors and the </w:t>
      </w:r>
      <w:r w:rsidRPr="003D13B0">
        <w:rPr>
          <w:rFonts w:eastAsiaTheme="minorHAnsi" w:cstheme="minorBidi"/>
          <w:b/>
          <w:noProof/>
          <w:szCs w:val="22"/>
          <w:lang w:val="en-IE" w:eastAsia="en-US"/>
        </w:rPr>
        <w:t>organisation and functioning of the judicial police</w:t>
      </w:r>
      <w:r w:rsidRPr="003D13B0">
        <w:rPr>
          <w:rFonts w:eastAsiaTheme="minorHAnsi" w:cstheme="minorBidi"/>
          <w:bCs/>
          <w:noProof/>
          <w:szCs w:val="22"/>
          <w:vertAlign w:val="superscript"/>
          <w:lang w:val="en-IE" w:eastAsia="en-US"/>
        </w:rPr>
        <w:footnoteReference w:id="19"/>
      </w:r>
      <w:r w:rsidRPr="003D13B0">
        <w:rPr>
          <w:rFonts w:eastAsiaTheme="minorHAnsi" w:cstheme="minorBidi"/>
          <w:bCs/>
          <w:noProof/>
          <w:szCs w:val="22"/>
          <w:lang w:val="en-IE" w:eastAsia="en-US"/>
        </w:rPr>
        <w:t xml:space="preserve">. </w:t>
      </w:r>
      <w:r w:rsidR="00A705BC" w:rsidRPr="00A705BC">
        <w:rPr>
          <w:rFonts w:eastAsiaTheme="minorHAnsi" w:cstheme="minorBidi"/>
          <w:bCs/>
          <w:noProof/>
          <w:szCs w:val="22"/>
          <w:lang w:val="en-IE" w:eastAsia="en-US"/>
        </w:rPr>
        <w:t xml:space="preserve">A selection procedure was organised resulting in appointments to several high-ranking prosecutorial positions. However, </w:t>
      </w:r>
      <w:r w:rsidR="00754FED">
        <w:rPr>
          <w:rFonts w:eastAsiaTheme="minorHAnsi" w:cstheme="minorBidi"/>
          <w:noProof/>
          <w:szCs w:val="22"/>
          <w:lang w:val="en-IE" w:eastAsia="en-US"/>
        </w:rPr>
        <w:t>p</w:t>
      </w:r>
      <w:r w:rsidRPr="003D13B0">
        <w:rPr>
          <w:rFonts w:eastAsiaTheme="minorHAnsi" w:cstheme="minorBidi"/>
          <w:noProof/>
          <w:szCs w:val="22"/>
          <w:lang w:val="en-IE" w:eastAsia="en-US"/>
        </w:rPr>
        <w:t>ending the work of the Committee, the Government also suspended the legislative work on the draft law to further strengthen safeguards to ensure the independence of high-ranking prosecutors. There were also no further legislative developments in the organisation and functioning of the judicial police</w:t>
      </w:r>
      <w:r w:rsidRPr="003D13B0">
        <w:rPr>
          <w:rFonts w:eastAsiaTheme="minorHAnsi" w:cstheme="minorBidi"/>
          <w:noProof/>
          <w:szCs w:val="22"/>
          <w:vertAlign w:val="superscript"/>
          <w:lang w:val="en-IE" w:eastAsia="en-US"/>
        </w:rPr>
        <w:footnoteReference w:id="20"/>
      </w:r>
      <w:r w:rsidRPr="003D13B0">
        <w:rPr>
          <w:rFonts w:eastAsiaTheme="minorHAnsi" w:cstheme="minorBidi"/>
          <w:noProof/>
          <w:szCs w:val="22"/>
          <w:lang w:val="en-IE" w:eastAsia="en-US"/>
        </w:rPr>
        <w:t>. In addition, due to budgetary constraints, the Government put on hold the independent audit of the random case allocation system provided for in the Justice Laws</w:t>
      </w:r>
      <w:r w:rsidRPr="003D13B0">
        <w:rPr>
          <w:rFonts w:eastAsiaTheme="minorHAnsi" w:cstheme="minorBidi"/>
          <w:noProof/>
          <w:szCs w:val="22"/>
          <w:vertAlign w:val="superscript"/>
          <w:lang w:val="en-IE" w:eastAsia="en-US"/>
        </w:rPr>
        <w:footnoteReference w:id="21"/>
      </w:r>
      <w:r w:rsidRPr="003D13B0">
        <w:rPr>
          <w:rFonts w:eastAsiaTheme="minorHAnsi" w:cstheme="minorBidi"/>
          <w:noProof/>
          <w:szCs w:val="22"/>
          <w:lang w:val="en-IE" w:eastAsia="en-US"/>
        </w:rPr>
        <w:t xml:space="preserve">. Pending further reflection, there has been no progress yet </w:t>
      </w:r>
      <w:r w:rsidRPr="003D13B0">
        <w:rPr>
          <w:rFonts w:eastAsiaTheme="minorHAnsi" w:cstheme="minorBidi"/>
          <w:bCs/>
          <w:noProof/>
          <w:szCs w:val="22"/>
          <w:lang w:val="en-IE" w:eastAsia="en-US"/>
        </w:rPr>
        <w:t xml:space="preserve">to strengthen safeguards to ensure the independence of high-ranking prosecutors and for </w:t>
      </w:r>
      <w:r w:rsidRPr="003D13B0">
        <w:rPr>
          <w:rFonts w:eastAsiaTheme="minorHAnsi" w:cstheme="minorBidi"/>
          <w:noProof/>
          <w:szCs w:val="22"/>
          <w:lang w:val="en-IE" w:eastAsia="en-US"/>
        </w:rPr>
        <w:t xml:space="preserve">the organisation and functioning of the judicial police. </w:t>
      </w:r>
    </w:p>
    <w:p w14:paraId="348E29EE" w14:textId="4C85386C" w:rsidR="003D13B0" w:rsidRPr="003D13B0" w:rsidRDefault="003D13B0" w:rsidP="003D13B0">
      <w:pPr>
        <w:spacing w:after="200"/>
        <w:rPr>
          <w:rFonts w:eastAsiaTheme="minorHAnsi" w:cstheme="minorBidi"/>
          <w:noProof/>
          <w:szCs w:val="22"/>
          <w:lang w:val="en-IE" w:eastAsia="en-US"/>
        </w:rPr>
      </w:pPr>
      <w:r w:rsidRPr="003D13B0">
        <w:rPr>
          <w:rFonts w:eastAsiaTheme="minorHAnsi" w:cstheme="minorBidi"/>
          <w:b/>
          <w:noProof/>
          <w:szCs w:val="22"/>
          <w:lang w:val="en-IE" w:eastAsia="en-US"/>
        </w:rPr>
        <w:t>Some magistrates continue to feel undue pressure from inside the judiciary</w:t>
      </w:r>
      <w:r w:rsidRPr="003D13B0">
        <w:rPr>
          <w:rFonts w:eastAsiaTheme="minorHAnsi" w:cstheme="minorBidi"/>
          <w:b/>
          <w:bCs/>
          <w:noProof/>
          <w:szCs w:val="22"/>
          <w:lang w:val="en-IE" w:eastAsia="en-US"/>
        </w:rPr>
        <w:t>,</w:t>
      </w:r>
      <w:r w:rsidRPr="003D13B0">
        <w:rPr>
          <w:rFonts w:eastAsiaTheme="minorHAnsi" w:cstheme="minorBidi"/>
          <w:b/>
          <w:noProof/>
          <w:szCs w:val="22"/>
          <w:lang w:val="en-IE" w:eastAsia="en-US"/>
        </w:rPr>
        <w:t xml:space="preserve"> and judges were recused for intending to refer cases to European Courts. </w:t>
      </w:r>
      <w:r w:rsidRPr="003D13B0">
        <w:rPr>
          <w:rFonts w:eastAsiaTheme="minorHAnsi" w:cstheme="minorBidi"/>
          <w:noProof/>
          <w:szCs w:val="22"/>
          <w:lang w:val="en-IE" w:eastAsia="en-US"/>
        </w:rPr>
        <w:t xml:space="preserve">These concerns were brought to the attention of the President of </w:t>
      </w:r>
      <w:r w:rsidR="00A03ACD">
        <w:rPr>
          <w:rFonts w:eastAsiaTheme="minorHAnsi" w:cstheme="minorBidi"/>
          <w:noProof/>
          <w:szCs w:val="22"/>
          <w:lang w:val="en-IE" w:eastAsia="en-US"/>
        </w:rPr>
        <w:t>Romania</w:t>
      </w:r>
      <w:r w:rsidRPr="003D13B0">
        <w:rPr>
          <w:rFonts w:eastAsiaTheme="minorHAnsi" w:cstheme="minorBidi"/>
          <w:noProof/>
          <w:szCs w:val="22"/>
          <w:lang w:val="en-IE" w:eastAsia="en-US"/>
        </w:rPr>
        <w:t xml:space="preserve"> by magistrates and their associations</w:t>
      </w:r>
      <w:r w:rsidRPr="003D13B0">
        <w:rPr>
          <w:rFonts w:eastAsiaTheme="minorHAnsi" w:cstheme="minorBidi"/>
          <w:noProof/>
          <w:szCs w:val="22"/>
          <w:vertAlign w:val="superscript"/>
          <w:lang w:val="en-IE" w:eastAsia="en-US"/>
        </w:rPr>
        <w:footnoteReference w:id="22"/>
      </w:r>
      <w:r w:rsidRPr="003D13B0">
        <w:rPr>
          <w:rFonts w:eastAsiaTheme="minorHAnsi" w:cstheme="minorBidi"/>
          <w:noProof/>
          <w:szCs w:val="22"/>
          <w:lang w:val="en-IE" w:eastAsia="en-US"/>
        </w:rPr>
        <w:t>. The transparency of case law on disciplinary sanctions has improved</w:t>
      </w:r>
      <w:r w:rsidRPr="003D13B0">
        <w:rPr>
          <w:rFonts w:eastAsiaTheme="minorHAnsi" w:cstheme="minorBidi"/>
          <w:noProof/>
          <w:szCs w:val="22"/>
          <w:vertAlign w:val="superscript"/>
          <w:lang w:val="en-IE" w:eastAsia="en-US"/>
        </w:rPr>
        <w:footnoteReference w:id="23"/>
      </w:r>
      <w:r w:rsidRPr="003D13B0">
        <w:rPr>
          <w:rFonts w:eastAsiaTheme="minorHAnsi" w:cstheme="minorBidi"/>
          <w:noProof/>
          <w:szCs w:val="22"/>
          <w:lang w:val="en-IE" w:eastAsia="en-US"/>
        </w:rPr>
        <w:t>, but decisions of the disciplinary sections of the SCM are not published and their reasoning is often transmitted late to the magistrate concerned</w:t>
      </w:r>
      <w:r w:rsidRPr="003D13B0">
        <w:rPr>
          <w:rFonts w:eastAsiaTheme="minorHAnsi" w:cstheme="minorBidi"/>
          <w:noProof/>
          <w:szCs w:val="22"/>
          <w:vertAlign w:val="superscript"/>
          <w:lang w:val="en-IE" w:eastAsia="en-US"/>
        </w:rPr>
        <w:footnoteReference w:id="24"/>
      </w:r>
      <w:r w:rsidRPr="003D13B0">
        <w:rPr>
          <w:rFonts w:eastAsiaTheme="minorHAnsi" w:cstheme="minorBidi"/>
          <w:noProof/>
          <w:szCs w:val="22"/>
          <w:lang w:val="en-IE" w:eastAsia="en-US"/>
        </w:rPr>
        <w:t>, which hampers the exercise of their right to appeal</w:t>
      </w:r>
      <w:r w:rsidRPr="003D13B0">
        <w:rPr>
          <w:rFonts w:eastAsiaTheme="minorHAnsi" w:cstheme="minorBidi"/>
          <w:noProof/>
          <w:szCs w:val="22"/>
          <w:vertAlign w:val="superscript"/>
          <w:lang w:val="en-IE" w:eastAsia="en-US"/>
        </w:rPr>
        <w:footnoteReference w:id="25"/>
      </w:r>
      <w:r w:rsidRPr="003D13B0">
        <w:rPr>
          <w:rFonts w:eastAsiaTheme="minorHAnsi" w:cstheme="minorBidi"/>
          <w:noProof/>
          <w:szCs w:val="22"/>
          <w:lang w:val="en-IE" w:eastAsia="en-US"/>
        </w:rPr>
        <w:t>. In a case of December 2025, the Grand Chamber of the European Court of Human Rights reiterated that magistrates should be allowed to speak out in defence of judicial independence</w:t>
      </w:r>
      <w:r w:rsidRPr="003D13B0">
        <w:rPr>
          <w:rFonts w:eastAsiaTheme="minorHAnsi" w:cstheme="minorBidi"/>
          <w:noProof/>
          <w:szCs w:val="22"/>
          <w:vertAlign w:val="superscript"/>
          <w:lang w:val="en-IE" w:eastAsia="en-US"/>
        </w:rPr>
        <w:footnoteReference w:id="26"/>
      </w:r>
      <w:r w:rsidRPr="003D13B0">
        <w:rPr>
          <w:rFonts w:eastAsiaTheme="minorHAnsi" w:cstheme="minorBidi"/>
          <w:noProof/>
          <w:szCs w:val="22"/>
          <w:lang w:val="en-IE" w:eastAsia="en-US"/>
        </w:rPr>
        <w:t>. However, individual magistrates continued facing pressure</w:t>
      </w:r>
      <w:r w:rsidRPr="003D13B0">
        <w:rPr>
          <w:rFonts w:eastAsiaTheme="minorHAnsi" w:cstheme="minorBidi"/>
          <w:noProof/>
          <w:szCs w:val="22"/>
          <w:vertAlign w:val="superscript"/>
          <w:lang w:val="en-IE" w:eastAsia="en-US"/>
        </w:rPr>
        <w:footnoteReference w:id="27"/>
      </w:r>
      <w:r w:rsidRPr="003D13B0">
        <w:rPr>
          <w:rFonts w:eastAsiaTheme="minorHAnsi" w:cstheme="minorBidi"/>
          <w:noProof/>
          <w:szCs w:val="22"/>
          <w:lang w:val="en-IE" w:eastAsia="en-US"/>
        </w:rPr>
        <w:t xml:space="preserve"> and magistrates’ associations issued public statements demanding an end to disciplinary pressure on magistrates exercising their right to free speech</w:t>
      </w:r>
      <w:r w:rsidRPr="003D13B0">
        <w:rPr>
          <w:rFonts w:eastAsiaTheme="minorHAnsi" w:cstheme="minorBidi"/>
          <w:noProof/>
          <w:szCs w:val="22"/>
          <w:vertAlign w:val="superscript"/>
          <w:lang w:val="en-IE" w:eastAsia="en-US"/>
        </w:rPr>
        <w:footnoteReference w:id="28"/>
      </w:r>
      <w:r w:rsidRPr="003D13B0">
        <w:rPr>
          <w:rFonts w:eastAsiaTheme="minorHAnsi" w:cstheme="minorBidi"/>
          <w:noProof/>
          <w:szCs w:val="22"/>
          <w:lang w:val="en-IE" w:eastAsia="en-US"/>
        </w:rPr>
        <w:t>. The Judicial Inspection concluded that the statements made by magistrates regarding disciplinary or administrative pressures were unsubstantiated</w:t>
      </w:r>
      <w:r w:rsidRPr="003D13B0">
        <w:rPr>
          <w:rFonts w:eastAsiaTheme="minorHAnsi" w:cstheme="minorBidi"/>
          <w:noProof/>
          <w:szCs w:val="22"/>
          <w:vertAlign w:val="superscript"/>
          <w:lang w:val="en-IE" w:eastAsia="en-US"/>
        </w:rPr>
        <w:footnoteReference w:id="29"/>
      </w:r>
      <w:r w:rsidRPr="003D13B0">
        <w:rPr>
          <w:rFonts w:eastAsiaTheme="minorHAnsi" w:cstheme="minorBidi"/>
          <w:noProof/>
          <w:szCs w:val="22"/>
          <w:lang w:val="en-IE" w:eastAsia="en-US"/>
        </w:rPr>
        <w:t>. A large number of magistrates and CSOs, however, disagreed with this assessment and raised questions as to the independence of the Judicial Inspection and its report</w:t>
      </w:r>
      <w:r w:rsidRPr="003D13B0">
        <w:rPr>
          <w:rFonts w:eastAsiaTheme="minorHAnsi" w:cstheme="minorBidi"/>
          <w:noProof/>
          <w:szCs w:val="22"/>
          <w:vertAlign w:val="superscript"/>
          <w:lang w:val="en-IE" w:eastAsia="en-US"/>
        </w:rPr>
        <w:footnoteReference w:id="30"/>
      </w:r>
      <w:r w:rsidRPr="003D13B0">
        <w:rPr>
          <w:rFonts w:eastAsiaTheme="minorHAnsi" w:cstheme="minorBidi"/>
          <w:noProof/>
          <w:szCs w:val="22"/>
          <w:lang w:val="en-IE" w:eastAsia="en-US"/>
        </w:rPr>
        <w:t xml:space="preserve">. On 1 April, the Constitutional Court (CCR) declared rules on the appointment to the position of inspector within the Judicial Inspection, provided for in Law No 317/2004 on the SCM, unconstitutional, as they should be regulated by an organic law. In parallel, the </w:t>
      </w:r>
      <w:r w:rsidR="002E5AA4">
        <w:rPr>
          <w:rFonts w:eastAsiaTheme="minorHAnsi" w:cstheme="minorBidi"/>
          <w:noProof/>
          <w:szCs w:val="22"/>
          <w:lang w:val="en-IE" w:eastAsia="en-US"/>
        </w:rPr>
        <w:t>HCCJ</w:t>
      </w:r>
      <w:r w:rsidRPr="003D13B0">
        <w:rPr>
          <w:rFonts w:eastAsiaTheme="minorHAnsi" w:cstheme="minorBidi"/>
          <w:noProof/>
          <w:szCs w:val="22"/>
          <w:lang w:val="en-IE" w:eastAsia="en-US"/>
        </w:rPr>
        <w:t xml:space="preserve"> decided that magistrates who report wrongdoings cannot be considered as whistleblowers</w:t>
      </w:r>
      <w:r w:rsidRPr="003D13B0">
        <w:rPr>
          <w:rFonts w:eastAsiaTheme="minorHAnsi" w:cstheme="minorBidi"/>
          <w:noProof/>
          <w:szCs w:val="22"/>
          <w:vertAlign w:val="superscript"/>
          <w:lang w:val="en-IE" w:eastAsia="en-US"/>
        </w:rPr>
        <w:footnoteReference w:id="31"/>
      </w:r>
      <w:r w:rsidRPr="003D13B0">
        <w:rPr>
          <w:rFonts w:eastAsiaTheme="minorHAnsi" w:cstheme="minorBidi"/>
          <w:noProof/>
          <w:szCs w:val="22"/>
          <w:lang w:val="en-IE" w:eastAsia="en-US"/>
        </w:rPr>
        <w:t>.</w:t>
      </w:r>
      <w:r w:rsidR="003A5579">
        <w:rPr>
          <w:rFonts w:eastAsiaTheme="minorHAnsi" w:cstheme="minorBidi"/>
          <w:noProof/>
          <w:szCs w:val="22"/>
          <w:lang w:val="en-IE" w:eastAsia="en-US"/>
        </w:rPr>
        <w:t xml:space="preserve"> </w:t>
      </w:r>
      <w:r w:rsidR="003A5579" w:rsidRPr="005D3698">
        <w:rPr>
          <w:rFonts w:eastAsiaTheme="minorHAnsi" w:cstheme="minorBidi"/>
          <w:noProof/>
          <w:szCs w:val="22"/>
          <w:lang w:val="en-IE" w:eastAsia="en-US"/>
        </w:rPr>
        <w:t xml:space="preserve">The </w:t>
      </w:r>
      <w:r w:rsidR="00F5029D" w:rsidRPr="005D3698">
        <w:rPr>
          <w:rFonts w:eastAsiaTheme="minorHAnsi" w:cstheme="minorBidi"/>
          <w:noProof/>
          <w:szCs w:val="22"/>
          <w:lang w:val="en-IE" w:eastAsia="en-US"/>
        </w:rPr>
        <w:t xml:space="preserve">Report on the work of the </w:t>
      </w:r>
      <w:r w:rsidR="003A5579" w:rsidRPr="005D3698">
        <w:rPr>
          <w:rFonts w:eastAsiaTheme="minorHAnsi" w:cstheme="minorBidi"/>
          <w:noProof/>
          <w:szCs w:val="22"/>
          <w:lang w:val="en-IE" w:eastAsia="en-US"/>
        </w:rPr>
        <w:t>Committee recommend</w:t>
      </w:r>
      <w:r w:rsidR="00385D24" w:rsidRPr="005D3698">
        <w:rPr>
          <w:rFonts w:eastAsiaTheme="minorHAnsi" w:cstheme="minorBidi"/>
          <w:noProof/>
          <w:szCs w:val="22"/>
          <w:lang w:val="en-IE" w:eastAsia="en-US"/>
        </w:rPr>
        <w:t>s</w:t>
      </w:r>
      <w:r w:rsidR="00D03ED7" w:rsidRPr="005D3698">
        <w:rPr>
          <w:rFonts w:eastAsiaTheme="minorHAnsi" w:cstheme="minorBidi"/>
          <w:noProof/>
          <w:szCs w:val="22"/>
          <w:lang w:val="en-IE" w:eastAsia="en-US"/>
        </w:rPr>
        <w:t xml:space="preserve"> that the Justice Laws be amended so as to clarify that the rules on whistleblowers also apply to magistrates</w:t>
      </w:r>
      <w:r w:rsidR="00D03ED7" w:rsidRPr="005D3698">
        <w:rPr>
          <w:rStyle w:val="FootnoteReference"/>
          <w:rFonts w:eastAsiaTheme="minorHAnsi" w:cstheme="minorBidi"/>
          <w:noProof/>
          <w:szCs w:val="22"/>
          <w:lang w:val="en-IE" w:eastAsia="en-US"/>
        </w:rPr>
        <w:footnoteReference w:id="32"/>
      </w:r>
      <w:r w:rsidR="00D03ED7" w:rsidRPr="005D3698">
        <w:rPr>
          <w:rFonts w:eastAsiaTheme="minorHAnsi" w:cstheme="minorBidi"/>
          <w:noProof/>
          <w:szCs w:val="22"/>
          <w:lang w:val="en-IE" w:eastAsia="en-US"/>
        </w:rPr>
        <w:t>.</w:t>
      </w:r>
      <w:r w:rsidRPr="005D3698">
        <w:rPr>
          <w:rFonts w:eastAsiaTheme="minorHAnsi" w:cstheme="minorBidi"/>
          <w:noProof/>
          <w:szCs w:val="22"/>
          <w:lang w:val="en-IE" w:eastAsia="en-US"/>
        </w:rPr>
        <w:t xml:space="preserve"> In addition</w:t>
      </w:r>
      <w:r w:rsidRPr="003D13B0">
        <w:rPr>
          <w:rFonts w:eastAsiaTheme="minorHAnsi" w:cstheme="minorBidi"/>
          <w:noProof/>
          <w:szCs w:val="22"/>
          <w:lang w:val="en-IE" w:eastAsia="en-US"/>
        </w:rPr>
        <w:t>, in 2025 and 2026, the High Court of Cassation and Justice (HCCJ) recused, in three decisions</w:t>
      </w:r>
      <w:r w:rsidRPr="003D13B0">
        <w:rPr>
          <w:rFonts w:eastAsiaTheme="minorHAnsi" w:cstheme="minorBidi"/>
          <w:noProof/>
          <w:szCs w:val="22"/>
          <w:vertAlign w:val="superscript"/>
          <w:lang w:val="en-IE" w:eastAsia="en-US"/>
        </w:rPr>
        <w:footnoteReference w:id="33"/>
      </w:r>
      <w:r w:rsidRPr="003D13B0">
        <w:rPr>
          <w:rFonts w:eastAsiaTheme="minorHAnsi" w:cstheme="minorBidi"/>
          <w:noProof/>
          <w:szCs w:val="22"/>
          <w:lang w:val="en-IE" w:eastAsia="en-US"/>
        </w:rPr>
        <w:t>, some of its judges</w:t>
      </w:r>
      <w:r w:rsidRPr="003D13B0">
        <w:rPr>
          <w:rFonts w:eastAsiaTheme="minorHAnsi" w:cstheme="minorBidi"/>
          <w:noProof/>
          <w:szCs w:val="22"/>
          <w:vertAlign w:val="superscript"/>
          <w:lang w:val="en-IE" w:eastAsia="en-US"/>
        </w:rPr>
        <w:footnoteReference w:id="34"/>
      </w:r>
      <w:r w:rsidRPr="003D13B0">
        <w:rPr>
          <w:rFonts w:eastAsiaTheme="minorHAnsi" w:cstheme="minorBidi"/>
          <w:noProof/>
          <w:szCs w:val="22"/>
          <w:lang w:val="en-IE" w:eastAsia="en-US"/>
        </w:rPr>
        <w:t xml:space="preserve"> because of their intention to refer questions to the Court of Justice of the European Union, as this reference would be</w:t>
      </w:r>
      <w:r w:rsidRPr="003D13B0">
        <w:rPr>
          <w:rFonts w:eastAsiaTheme="minorHAnsi" w:cstheme="minorBidi"/>
          <w:noProof/>
          <w:szCs w:val="22"/>
          <w:lang w:val="en" w:eastAsia="en-US"/>
        </w:rPr>
        <w:t xml:space="preserve"> such as to raise questions as to the impartiality of these judges,</w:t>
      </w:r>
      <w:r w:rsidRPr="003D13B0">
        <w:rPr>
          <w:rFonts w:eastAsiaTheme="minorHAnsi" w:cstheme="minorBidi"/>
          <w:noProof/>
          <w:szCs w:val="22"/>
          <w:lang w:val="en-IE" w:eastAsia="en-US"/>
        </w:rPr>
        <w:t xml:space="preserve"> or to seek an advisory opinion from the European Court of Human Rights</w:t>
      </w:r>
      <w:r w:rsidRPr="003D13B0">
        <w:rPr>
          <w:rFonts w:eastAsiaTheme="minorHAnsi" w:cstheme="minorBidi"/>
          <w:noProof/>
          <w:szCs w:val="22"/>
          <w:vertAlign w:val="superscript"/>
          <w:lang w:val="en-IE" w:eastAsia="en-US"/>
        </w:rPr>
        <w:footnoteReference w:id="35"/>
      </w:r>
      <w:r w:rsidRPr="003D13B0">
        <w:rPr>
          <w:rFonts w:eastAsiaTheme="minorHAnsi" w:cstheme="minorBidi"/>
          <w:noProof/>
          <w:szCs w:val="22"/>
          <w:lang w:val="en-IE" w:eastAsia="en-US"/>
        </w:rPr>
        <w:t>.</w:t>
      </w:r>
    </w:p>
    <w:p w14:paraId="4CEB5CDD" w14:textId="77777777" w:rsidR="003D13B0" w:rsidRPr="003D13B0" w:rsidRDefault="003D13B0" w:rsidP="003D13B0">
      <w:pPr>
        <w:keepNext/>
        <w:outlineLvl w:val="1"/>
        <w:rPr>
          <w:b/>
          <w:noProof/>
          <w:szCs w:val="24"/>
          <w:lang w:val="en-IE" w:eastAsia="en-GB"/>
        </w:rPr>
      </w:pPr>
      <w:r w:rsidRPr="003D13B0">
        <w:rPr>
          <w:b/>
          <w:noProof/>
          <w:szCs w:val="24"/>
          <w:lang w:val="en-IE" w:eastAsia="en-GB"/>
        </w:rPr>
        <w:t xml:space="preserve">Quality </w:t>
      </w:r>
    </w:p>
    <w:p w14:paraId="7C56561C" w14:textId="75B5EF7A" w:rsidR="003D13B0" w:rsidRPr="003D13B0" w:rsidRDefault="000E6BE9" w:rsidP="003D13B0">
      <w:pPr>
        <w:rPr>
          <w:noProof/>
          <w:szCs w:val="22"/>
          <w:lang w:val="en-IE" w:eastAsia="fr-FR"/>
        </w:rPr>
      </w:pPr>
      <w:r>
        <w:rPr>
          <w:b/>
          <w:noProof/>
          <w:szCs w:val="22"/>
          <w:lang w:val="en-US" w:eastAsia="fr-FR"/>
        </w:rPr>
        <w:t xml:space="preserve">The occupancy rate of positions in the </w:t>
      </w:r>
      <w:r w:rsidR="00CF70C3">
        <w:rPr>
          <w:b/>
          <w:noProof/>
          <w:szCs w:val="22"/>
          <w:lang w:val="en-US" w:eastAsia="fr-FR"/>
        </w:rPr>
        <w:t>magistracy increased in 2025</w:t>
      </w:r>
      <w:r w:rsidR="000532E4">
        <w:rPr>
          <w:b/>
          <w:noProof/>
          <w:szCs w:val="22"/>
          <w:lang w:val="en-US" w:eastAsia="fr-FR"/>
        </w:rPr>
        <w:t>, and</w:t>
      </w:r>
      <w:r w:rsidRPr="003D13B0">
        <w:rPr>
          <w:b/>
          <w:noProof/>
          <w:szCs w:val="22"/>
          <w:lang w:val="en-US" w:eastAsia="fr-FR"/>
        </w:rPr>
        <w:t xml:space="preserve"> </w:t>
      </w:r>
      <w:r w:rsidR="000532E4">
        <w:rPr>
          <w:b/>
          <w:noProof/>
          <w:szCs w:val="22"/>
          <w:lang w:val="en-US" w:eastAsia="fr-FR"/>
        </w:rPr>
        <w:t>m</w:t>
      </w:r>
      <w:r w:rsidR="000532E4" w:rsidRPr="003D13B0">
        <w:rPr>
          <w:b/>
          <w:noProof/>
          <w:szCs w:val="22"/>
          <w:lang w:val="en-US" w:eastAsia="fr-FR"/>
        </w:rPr>
        <w:t xml:space="preserve">easures </w:t>
      </w:r>
      <w:r w:rsidR="003D13B0" w:rsidRPr="003D13B0">
        <w:rPr>
          <w:b/>
          <w:noProof/>
          <w:szCs w:val="22"/>
          <w:lang w:val="en-US" w:eastAsia="fr-FR"/>
        </w:rPr>
        <w:t xml:space="preserve">are being taken to tackle the current shortage of magistrates. </w:t>
      </w:r>
      <w:r w:rsidR="003D13B0" w:rsidRPr="003D13B0">
        <w:rPr>
          <w:noProof/>
          <w:szCs w:val="22"/>
          <w:lang w:val="en-IE" w:eastAsia="fr-FR"/>
        </w:rPr>
        <w:t>The occupancy rate of magistrates’ positions increased in 2025, while the SCM and magistrates consider that the number of vacancies remains an issue for the judiciary.</w:t>
      </w:r>
      <w:r w:rsidR="003D13B0" w:rsidRPr="003D13B0">
        <w:rPr>
          <w:b/>
          <w:noProof/>
          <w:szCs w:val="22"/>
          <w:lang w:val="en-IE" w:eastAsia="fr-FR"/>
        </w:rPr>
        <w:t xml:space="preserve"> </w:t>
      </w:r>
      <w:r w:rsidR="003D13B0" w:rsidRPr="003D13B0">
        <w:rPr>
          <w:noProof/>
          <w:szCs w:val="22"/>
          <w:lang w:val="en-IE" w:eastAsia="fr-FR"/>
        </w:rPr>
        <w:t>Competitions for magistrates and clerks have been suspended in 2025 and 2026 due to country-wide budgetary restrictions</w:t>
      </w:r>
      <w:r w:rsidR="003D13B0" w:rsidRPr="003D13B0">
        <w:rPr>
          <w:noProof/>
          <w:szCs w:val="22"/>
          <w:vertAlign w:val="superscript"/>
          <w:lang w:val="en-IE" w:eastAsia="fr-FR"/>
        </w:rPr>
        <w:footnoteReference w:id="36"/>
      </w:r>
      <w:r w:rsidR="003D13B0" w:rsidRPr="003D13B0">
        <w:rPr>
          <w:noProof/>
          <w:szCs w:val="22"/>
          <w:lang w:val="en-IE" w:eastAsia="fr-FR"/>
        </w:rPr>
        <w:t>, but exceptions have been provided in April 2026 for the judicial sector</w:t>
      </w:r>
      <w:r w:rsidR="003D13B0" w:rsidRPr="003D13B0">
        <w:rPr>
          <w:noProof/>
          <w:szCs w:val="22"/>
          <w:vertAlign w:val="superscript"/>
          <w:lang w:val="en-IE" w:eastAsia="fr-FR"/>
        </w:rPr>
        <w:footnoteReference w:id="37"/>
      </w:r>
      <w:r w:rsidR="003D13B0" w:rsidRPr="003D13B0">
        <w:rPr>
          <w:noProof/>
          <w:szCs w:val="22"/>
          <w:lang w:val="en-IE" w:eastAsia="fr-FR"/>
        </w:rPr>
        <w:t>, and several other measures have been taken to address the shortage of staff in 2026. For instance, the reduction of the duration of courses at the National Institute of Magistracy (INM) from 3 to 2 years has been extended</w:t>
      </w:r>
      <w:r w:rsidR="003D13B0" w:rsidRPr="003D13B0">
        <w:rPr>
          <w:noProof/>
          <w:szCs w:val="22"/>
          <w:vertAlign w:val="superscript"/>
          <w:lang w:val="en-IE" w:eastAsia="fr-FR"/>
        </w:rPr>
        <w:footnoteReference w:id="38"/>
      </w:r>
      <w:r w:rsidR="003D13B0" w:rsidRPr="003D13B0">
        <w:rPr>
          <w:noProof/>
          <w:szCs w:val="22"/>
          <w:lang w:val="en-IE" w:eastAsia="fr-FR"/>
        </w:rPr>
        <w:t>. The Prosecutor General, in agreement with the SCM, also proposed to reorganise the map of prosecutors’ offices by establishing a single prosecutor's office unit at county level to streamline procedures</w:t>
      </w:r>
      <w:r w:rsidR="003D13B0" w:rsidRPr="003D13B0">
        <w:rPr>
          <w:noProof/>
          <w:szCs w:val="22"/>
          <w:vertAlign w:val="superscript"/>
          <w:lang w:val="en-IE" w:eastAsia="fr-FR"/>
        </w:rPr>
        <w:footnoteReference w:id="39"/>
      </w:r>
      <w:r w:rsidR="003D13B0" w:rsidRPr="003D13B0">
        <w:rPr>
          <w:noProof/>
          <w:szCs w:val="22"/>
          <w:lang w:val="en-IE" w:eastAsia="fr-FR"/>
        </w:rPr>
        <w:t>. As a result, at the end of 2025, the occupancy rate increased to 85%</w:t>
      </w:r>
      <w:r w:rsidR="003D13B0" w:rsidRPr="003D13B0">
        <w:rPr>
          <w:noProof/>
          <w:szCs w:val="22"/>
          <w:vertAlign w:val="superscript"/>
          <w:lang w:val="en-IE" w:eastAsia="fr-FR"/>
        </w:rPr>
        <w:footnoteReference w:id="40"/>
      </w:r>
      <w:r w:rsidR="003D13B0" w:rsidRPr="003D13B0">
        <w:rPr>
          <w:noProof/>
          <w:szCs w:val="22"/>
          <w:lang w:val="en-IE" w:eastAsia="fr-FR"/>
        </w:rPr>
        <w:t xml:space="preserve"> for judges’ positions and to </w:t>
      </w:r>
      <w:r w:rsidR="003D13B0" w:rsidRPr="003D13B0">
        <w:rPr>
          <w:rFonts w:eastAsiaTheme="minorHAnsi" w:cstheme="minorBidi"/>
          <w:noProof/>
          <w:szCs w:val="22"/>
          <w:lang w:val="en-IE" w:eastAsia="en-US"/>
        </w:rPr>
        <w:t>76% for prosecutors</w:t>
      </w:r>
      <w:r w:rsidR="003D13B0" w:rsidRPr="003D13B0">
        <w:rPr>
          <w:rFonts w:eastAsiaTheme="minorHAnsi" w:cstheme="minorBidi"/>
          <w:noProof/>
          <w:szCs w:val="22"/>
          <w:vertAlign w:val="superscript"/>
          <w:lang w:val="en-IE" w:eastAsia="en-US"/>
        </w:rPr>
        <w:footnoteReference w:id="41"/>
      </w:r>
      <w:r w:rsidR="003D13B0" w:rsidRPr="003D13B0">
        <w:rPr>
          <w:noProof/>
          <w:szCs w:val="22"/>
          <w:lang w:val="en-IE" w:eastAsia="fr-FR"/>
        </w:rPr>
        <w:t>. Feedback to a questionnaire addressed by the SCM to all judges in office in December 2025 however highlights that the high workload and insufficient number of judges and clerks continue to directly impact their work</w:t>
      </w:r>
      <w:r w:rsidR="003D13B0" w:rsidRPr="003D13B0">
        <w:rPr>
          <w:noProof/>
          <w:szCs w:val="22"/>
          <w:vertAlign w:val="superscript"/>
          <w:lang w:val="en-IE" w:eastAsia="fr-FR"/>
        </w:rPr>
        <w:footnoteReference w:id="42"/>
      </w:r>
      <w:r w:rsidR="003D13B0" w:rsidRPr="003D13B0">
        <w:rPr>
          <w:noProof/>
          <w:szCs w:val="22"/>
          <w:lang w:val="en-IE" w:eastAsia="fr-FR"/>
        </w:rPr>
        <w:t>. This is also confirmed by all magistrates’ associations</w:t>
      </w:r>
      <w:r w:rsidR="003D13B0" w:rsidRPr="003D13B0">
        <w:rPr>
          <w:noProof/>
          <w:szCs w:val="22"/>
          <w:vertAlign w:val="superscript"/>
          <w:lang w:val="en-IE" w:eastAsia="fr-FR"/>
        </w:rPr>
        <w:footnoteReference w:id="43"/>
      </w:r>
      <w:r w:rsidR="003D13B0" w:rsidRPr="003D13B0">
        <w:rPr>
          <w:noProof/>
          <w:szCs w:val="22"/>
          <w:lang w:val="en-IE" w:eastAsia="fr-FR"/>
        </w:rPr>
        <w:t>. In parallel, annual statistics related to the competitions for admission to the National Institute of Magistracy reflect a steady decrease in the attractiveness of the judicial profession</w:t>
      </w:r>
      <w:r w:rsidR="003D13B0" w:rsidRPr="003D13B0">
        <w:rPr>
          <w:noProof/>
          <w:szCs w:val="22"/>
          <w:vertAlign w:val="superscript"/>
          <w:lang w:val="en-IE" w:eastAsia="fr-FR"/>
        </w:rPr>
        <w:footnoteReference w:id="44"/>
      </w:r>
      <w:r w:rsidR="003D13B0" w:rsidRPr="003D13B0">
        <w:rPr>
          <w:noProof/>
          <w:szCs w:val="22"/>
          <w:lang w:val="en-IE" w:eastAsia="fr-FR"/>
        </w:rPr>
        <w:t>. A reform of magistrates’ pensions was adopted on 27 February 2026, which gradually increases their retirement age over a period of 15 years</w:t>
      </w:r>
      <w:r w:rsidR="003D13B0" w:rsidRPr="003D13B0">
        <w:rPr>
          <w:noProof/>
          <w:szCs w:val="22"/>
          <w:vertAlign w:val="superscript"/>
          <w:lang w:val="en-IE" w:eastAsia="fr-FR"/>
        </w:rPr>
        <w:footnoteReference w:id="45"/>
      </w:r>
      <w:r w:rsidR="003D13B0" w:rsidRPr="003D13B0">
        <w:rPr>
          <w:noProof/>
          <w:szCs w:val="22"/>
          <w:lang w:val="en-IE" w:eastAsia="fr-FR"/>
        </w:rPr>
        <w:t>. The aim is to improve equity in the pension system and better align pension contributions paid during the working life and pension benefits. While the reform could lead to early retirement of some magistrates</w:t>
      </w:r>
      <w:r w:rsidR="003D13B0" w:rsidRPr="003D13B0">
        <w:rPr>
          <w:noProof/>
          <w:szCs w:val="22"/>
          <w:vertAlign w:val="superscript"/>
          <w:lang w:val="en-IE" w:eastAsia="fr-FR"/>
        </w:rPr>
        <w:footnoteReference w:id="46"/>
      </w:r>
      <w:r w:rsidR="003D13B0" w:rsidRPr="003D13B0">
        <w:rPr>
          <w:noProof/>
          <w:szCs w:val="22"/>
          <w:lang w:val="en-IE" w:eastAsia="fr-FR"/>
        </w:rPr>
        <w:t>, requiring new recruitments, it will also help keeping more experienced magistrates in activity, which will be beneficial for the functioning of the judicial system</w:t>
      </w:r>
      <w:r w:rsidR="003D13B0" w:rsidRPr="003D13B0">
        <w:rPr>
          <w:noProof/>
          <w:szCs w:val="22"/>
          <w:vertAlign w:val="superscript"/>
          <w:lang w:val="en-IE" w:eastAsia="fr-FR"/>
        </w:rPr>
        <w:footnoteReference w:id="47"/>
      </w:r>
      <w:r w:rsidR="003D13B0" w:rsidRPr="003D13B0">
        <w:rPr>
          <w:noProof/>
          <w:szCs w:val="22"/>
          <w:lang w:val="en-IE" w:eastAsia="fr-FR"/>
        </w:rPr>
        <w:t>.</w:t>
      </w:r>
    </w:p>
    <w:p w14:paraId="1732697C" w14:textId="134FC626" w:rsidR="003D13B0" w:rsidRPr="003D13B0" w:rsidRDefault="003D13B0" w:rsidP="00B662FA">
      <w:pPr>
        <w:rPr>
          <w:rFonts w:eastAsiaTheme="minorHAnsi" w:cstheme="minorBidi"/>
          <w:b/>
          <w:noProof/>
          <w:szCs w:val="22"/>
          <w:lang w:val="en-IE" w:eastAsia="en-US"/>
        </w:rPr>
      </w:pPr>
      <w:bookmarkStart w:id="3" w:name="_Hlk224651958"/>
      <w:r w:rsidRPr="003D13B0">
        <w:rPr>
          <w:rFonts w:eastAsiaTheme="minorHAnsi" w:cstheme="minorBidi"/>
          <w:b/>
          <w:noProof/>
          <w:szCs w:val="22"/>
          <w:lang w:val="en-IE" w:eastAsia="en-US"/>
        </w:rPr>
        <w:t>Measures have been taken to improve the legal aid system, which remains underfunded.</w:t>
      </w:r>
      <w:r w:rsidRPr="003D13B0">
        <w:rPr>
          <w:rFonts w:eastAsiaTheme="minorHAnsi" w:cstheme="minorBidi"/>
          <w:noProof/>
          <w:szCs w:val="22"/>
          <w:lang w:val="en-IE" w:eastAsia="en-US"/>
        </w:rPr>
        <w:t xml:space="preserve"> </w:t>
      </w:r>
      <w:bookmarkEnd w:id="3"/>
      <w:r w:rsidRPr="003D13B0">
        <w:rPr>
          <w:rFonts w:eastAsiaTheme="minorHAnsi" w:cstheme="minorBidi"/>
          <w:noProof/>
          <w:szCs w:val="22"/>
          <w:lang w:val="en-IE" w:eastAsia="en-US"/>
        </w:rPr>
        <w:t>These measures include a new procedure for judicial assistance (SAJ) and the development of a national digital platform for managing legal aid, aimed at improving transparency, uniformity and timeliness of payments. According to the Ministry of Justice, the amount paid for legal aid in civil and criminal matters in 2025 was of approximately EUR 30 million</w:t>
      </w:r>
      <w:r w:rsidRPr="003D13B0">
        <w:rPr>
          <w:rFonts w:eastAsiaTheme="minorHAnsi" w:cstheme="minorBidi"/>
          <w:noProof/>
          <w:szCs w:val="22"/>
          <w:vertAlign w:val="superscript"/>
          <w:lang w:val="en-IE" w:eastAsia="en-US"/>
        </w:rPr>
        <w:footnoteReference w:id="48"/>
      </w:r>
      <w:r w:rsidRPr="003D13B0">
        <w:rPr>
          <w:rFonts w:eastAsiaTheme="minorHAnsi" w:cstheme="minorBidi"/>
          <w:noProof/>
          <w:szCs w:val="22"/>
          <w:lang w:val="en-IE" w:eastAsia="en-US"/>
        </w:rPr>
        <w:t xml:space="preserve">. The </w:t>
      </w:r>
      <w:r w:rsidR="007B323E">
        <w:rPr>
          <w:rFonts w:eastAsiaTheme="minorHAnsi" w:cstheme="minorBidi"/>
          <w:noProof/>
          <w:szCs w:val="22"/>
          <w:lang w:val="en-IE" w:eastAsia="en-US"/>
        </w:rPr>
        <w:t xml:space="preserve">Romanian Union of </w:t>
      </w:r>
      <w:r w:rsidRPr="003D13B0">
        <w:rPr>
          <w:rFonts w:eastAsiaTheme="minorHAnsi" w:cstheme="minorBidi"/>
          <w:noProof/>
          <w:szCs w:val="22"/>
          <w:lang w:val="en-IE" w:eastAsia="en-US"/>
        </w:rPr>
        <w:t>Bar Association</w:t>
      </w:r>
      <w:r w:rsidR="007B323E">
        <w:rPr>
          <w:rFonts w:eastAsiaTheme="minorHAnsi" w:cstheme="minorBidi"/>
          <w:noProof/>
          <w:szCs w:val="22"/>
          <w:lang w:val="en-IE" w:eastAsia="en-US"/>
        </w:rPr>
        <w:t>s (UNBR)</w:t>
      </w:r>
      <w:r w:rsidRPr="003D13B0">
        <w:rPr>
          <w:rFonts w:eastAsiaTheme="minorHAnsi" w:cstheme="minorBidi"/>
          <w:noProof/>
          <w:szCs w:val="22"/>
          <w:lang w:val="en-IE" w:eastAsia="en-US"/>
        </w:rPr>
        <w:t>, however, considers that the legal aid system is still severely underfunded and payments often delayed, but reports that a dialogue is taking place with the Ministry of Finance to address these delays and agree on uniform billing rules</w:t>
      </w:r>
      <w:r w:rsidRPr="003D13B0">
        <w:rPr>
          <w:rFonts w:eastAsiaTheme="minorHAnsi" w:cstheme="minorBidi"/>
          <w:noProof/>
          <w:szCs w:val="22"/>
          <w:vertAlign w:val="superscript"/>
          <w:lang w:val="en-IE" w:eastAsia="en-US"/>
        </w:rPr>
        <w:footnoteReference w:id="49"/>
      </w:r>
      <w:r w:rsidRPr="003D13B0">
        <w:rPr>
          <w:rFonts w:eastAsiaTheme="minorHAnsi" w:cstheme="minorBidi"/>
          <w:noProof/>
          <w:szCs w:val="22"/>
          <w:lang w:val="en-IE" w:eastAsia="en-US"/>
        </w:rPr>
        <w:t>. Romania has one of the lowest number of beneficiaries per capita (around 12 000 in total in Romania in 2025)</w:t>
      </w:r>
      <w:r w:rsidRPr="003D13B0">
        <w:rPr>
          <w:rFonts w:eastAsiaTheme="minorHAnsi" w:cstheme="minorBidi"/>
          <w:noProof/>
          <w:szCs w:val="22"/>
          <w:vertAlign w:val="superscript"/>
          <w:lang w:val="en-IE" w:eastAsia="en-US"/>
        </w:rPr>
        <w:footnoteReference w:id="50"/>
      </w:r>
      <w:r w:rsidRPr="003D13B0">
        <w:rPr>
          <w:rFonts w:eastAsiaTheme="minorHAnsi" w:cstheme="minorBidi"/>
          <w:noProof/>
          <w:szCs w:val="22"/>
          <w:lang w:val="en-IE" w:eastAsia="en-US"/>
        </w:rPr>
        <w:t xml:space="preserve"> and its income level ceiling for applicants for legal aid is among the lowest in the EU</w:t>
      </w:r>
      <w:r w:rsidRPr="003D13B0">
        <w:rPr>
          <w:rFonts w:eastAsiaTheme="minorHAnsi" w:cstheme="minorBidi"/>
          <w:noProof/>
          <w:szCs w:val="22"/>
          <w:vertAlign w:val="superscript"/>
          <w:lang w:val="en-IE" w:eastAsia="en-US"/>
        </w:rPr>
        <w:footnoteReference w:id="51"/>
      </w:r>
      <w:r w:rsidRPr="003D13B0">
        <w:rPr>
          <w:rFonts w:eastAsiaTheme="minorHAnsi" w:cstheme="minorBidi"/>
          <w:noProof/>
          <w:szCs w:val="22"/>
          <w:lang w:val="en-IE" w:eastAsia="en-US"/>
        </w:rPr>
        <w:t>. Data on the number of beneficiaries, their profile and the amounts received is not published, which according to civil society does not allow for public scrutiny</w:t>
      </w:r>
      <w:r w:rsidRPr="003D13B0">
        <w:rPr>
          <w:rFonts w:eastAsiaTheme="minorHAnsi" w:cstheme="minorBidi"/>
          <w:noProof/>
          <w:szCs w:val="22"/>
          <w:vertAlign w:val="superscript"/>
          <w:lang w:val="en-IE" w:eastAsia="en-US"/>
        </w:rPr>
        <w:footnoteReference w:id="52"/>
      </w:r>
      <w:r w:rsidRPr="003D13B0">
        <w:rPr>
          <w:rFonts w:eastAsiaTheme="minorHAnsi" w:cstheme="minorBidi"/>
          <w:noProof/>
          <w:szCs w:val="22"/>
          <w:lang w:val="en-IE" w:eastAsia="en-US"/>
        </w:rPr>
        <w:t>.</w:t>
      </w:r>
    </w:p>
    <w:p w14:paraId="04057086" w14:textId="0BDE0013" w:rsidR="003D13B0" w:rsidRPr="00982D64" w:rsidRDefault="003D13B0" w:rsidP="003D13B0">
      <w:pPr>
        <w:spacing w:after="200"/>
        <w:rPr>
          <w:rFonts w:eastAsiaTheme="minorHAnsi"/>
          <w:noProof/>
        </w:rPr>
      </w:pPr>
      <w:bookmarkStart w:id="4" w:name="_Hlk224651996"/>
      <w:r w:rsidRPr="003D13B0">
        <w:rPr>
          <w:rFonts w:eastAsiaTheme="minorHAnsi" w:cstheme="minorBidi"/>
          <w:b/>
          <w:noProof/>
          <w:szCs w:val="22"/>
          <w:lang w:val="en-IE" w:eastAsia="en-US"/>
        </w:rPr>
        <w:t xml:space="preserve">The digitalisation of the justice system is one of the priorities of the Strategy for the Development of the Judicial System and Justice as a Public Service 2025–2029. </w:t>
      </w:r>
      <w:bookmarkEnd w:id="4"/>
      <w:r w:rsidRPr="003D13B0">
        <w:rPr>
          <w:rFonts w:eastAsiaTheme="minorHAnsi" w:cstheme="minorBidi"/>
          <w:noProof/>
          <w:szCs w:val="22"/>
          <w:lang w:val="en-IE" w:eastAsia="en-US"/>
        </w:rPr>
        <w:t>The Ministry of Justice completed one of 4 sub-investments financed under the National Recovery and Resilience Plan (NRRP)</w:t>
      </w:r>
      <w:r w:rsidRPr="003D13B0">
        <w:rPr>
          <w:rFonts w:eastAsiaTheme="minorHAnsi" w:cstheme="minorBidi"/>
          <w:noProof/>
          <w:szCs w:val="22"/>
          <w:vertAlign w:val="superscript"/>
          <w:lang w:val="en-IE" w:eastAsia="en-US"/>
        </w:rPr>
        <w:footnoteReference w:id="53"/>
      </w:r>
      <w:r w:rsidRPr="003D13B0">
        <w:rPr>
          <w:rFonts w:eastAsiaTheme="minorHAnsi" w:cstheme="minorBidi"/>
          <w:noProof/>
          <w:szCs w:val="22"/>
          <w:lang w:val="en-IE" w:eastAsia="en-US"/>
        </w:rPr>
        <w:t>, including the establishment of technical facilities for hosting the critical IT infrastructure of the Ministry of Justice, the development and optimisation of the data infrastructure for the judicial sector and the implementation of a private cloud infrastructure for the justice system</w:t>
      </w:r>
      <w:r w:rsidRPr="003D13B0">
        <w:rPr>
          <w:rFonts w:eastAsiaTheme="minorHAnsi" w:cstheme="minorBidi"/>
          <w:noProof/>
          <w:szCs w:val="22"/>
          <w:vertAlign w:val="superscript"/>
          <w:lang w:val="en-IE" w:eastAsia="en-US"/>
        </w:rPr>
        <w:footnoteReference w:id="54"/>
      </w:r>
      <w:r w:rsidRPr="003D13B0">
        <w:rPr>
          <w:rFonts w:eastAsiaTheme="minorHAnsi" w:cstheme="minorBidi"/>
          <w:noProof/>
          <w:szCs w:val="22"/>
          <w:lang w:val="en-IE" w:eastAsia="en-US"/>
        </w:rPr>
        <w:t xml:space="preserve">. Discussions between the Ministry of Justice and the SCM are still underway to ensure that changes in the IT infrastructure are consistent with the imperative to preserve the independence of the judiciary </w:t>
      </w:r>
      <w:r w:rsidRPr="003D13B0">
        <w:rPr>
          <w:rFonts w:eastAsiaTheme="minorHAnsi" w:cstheme="minorBidi"/>
          <w:noProof/>
          <w:szCs w:val="22"/>
          <w:vertAlign w:val="superscript"/>
          <w:lang w:val="en-IE" w:eastAsia="en-US"/>
        </w:rPr>
        <w:footnoteReference w:id="55"/>
      </w:r>
      <w:r w:rsidRPr="003D13B0">
        <w:rPr>
          <w:rFonts w:eastAsiaTheme="minorHAnsi" w:cstheme="minorBidi"/>
          <w:noProof/>
          <w:szCs w:val="22"/>
          <w:lang w:val="en-IE" w:eastAsia="en-US"/>
        </w:rPr>
        <w:t>. The current single domain which serves the courts is under the supervision of the ministry</w:t>
      </w:r>
      <w:r w:rsidRPr="003D13B0">
        <w:rPr>
          <w:rFonts w:eastAsiaTheme="minorHAnsi" w:cstheme="minorBidi"/>
          <w:noProof/>
          <w:szCs w:val="22"/>
          <w:vertAlign w:val="superscript"/>
          <w:lang w:val="en-IE" w:eastAsia="en-US"/>
        </w:rPr>
        <w:footnoteReference w:id="56"/>
      </w:r>
      <w:r w:rsidRPr="003D13B0">
        <w:rPr>
          <w:rFonts w:eastAsiaTheme="minorHAnsi" w:cstheme="minorBidi"/>
          <w:noProof/>
          <w:szCs w:val="22"/>
          <w:lang w:val="en-IE" w:eastAsia="en-US"/>
        </w:rPr>
        <w:t>, while appropriate solutions are being discussed in order to safeguard the independence of the judiciary and the principle of separation of powers</w:t>
      </w:r>
      <w:r w:rsidRPr="003D13B0">
        <w:rPr>
          <w:rFonts w:eastAsiaTheme="minorHAnsi" w:cstheme="minorBidi"/>
          <w:noProof/>
          <w:szCs w:val="22"/>
          <w:vertAlign w:val="superscript"/>
          <w:lang w:val="en-IE" w:eastAsia="en-US"/>
        </w:rPr>
        <w:footnoteReference w:id="57"/>
      </w:r>
      <w:r w:rsidRPr="003D13B0">
        <w:rPr>
          <w:rFonts w:eastAsiaTheme="minorHAnsi" w:cstheme="minorBidi"/>
          <w:noProof/>
          <w:szCs w:val="22"/>
          <w:lang w:val="en-IE" w:eastAsia="en-US"/>
        </w:rPr>
        <w:t>. The SCM developed an artificial intelligence system that automatically anonymises court decisions and will replace the previous system by the end of 2026. The registratura.rejust.ro portal, which allows citizens to file a complaint and pay the court fee online, benefited from the implementation of new functionalities</w:t>
      </w:r>
      <w:r w:rsidRPr="003D13B0">
        <w:rPr>
          <w:rFonts w:eastAsiaTheme="minorHAnsi" w:cstheme="minorBidi"/>
          <w:noProof/>
          <w:szCs w:val="22"/>
          <w:vertAlign w:val="superscript"/>
          <w:lang w:val="en-IE" w:eastAsia="en-US"/>
        </w:rPr>
        <w:footnoteReference w:id="58"/>
      </w:r>
      <w:r w:rsidRPr="003D13B0">
        <w:rPr>
          <w:rFonts w:eastAsiaTheme="minorHAnsi" w:cstheme="minorBidi"/>
          <w:noProof/>
          <w:szCs w:val="22"/>
          <w:lang w:val="en-IE" w:eastAsia="en-US"/>
        </w:rPr>
        <w:t>.</w:t>
      </w:r>
      <w:r w:rsidRPr="003D13B0">
        <w:rPr>
          <w:rFonts w:eastAsiaTheme="minorHAnsi" w:cstheme="minorBidi"/>
          <w:b/>
          <w:noProof/>
          <w:szCs w:val="22"/>
          <w:lang w:val="en-IE" w:eastAsia="en-US"/>
        </w:rPr>
        <w:t xml:space="preserve"> </w:t>
      </w:r>
      <w:r w:rsidRPr="003D13B0">
        <w:rPr>
          <w:rFonts w:eastAsiaTheme="minorHAnsi" w:cstheme="minorBidi"/>
          <w:noProof/>
          <w:szCs w:val="22"/>
          <w:lang w:val="en-IE" w:eastAsia="en-US"/>
        </w:rPr>
        <w:t xml:space="preserve">ECRIS V, the electronic case </w:t>
      </w:r>
      <w:r w:rsidR="00AE7858">
        <w:rPr>
          <w:rFonts w:eastAsiaTheme="minorHAnsi" w:cstheme="minorBidi"/>
          <w:noProof/>
          <w:szCs w:val="22"/>
          <w:lang w:val="en-IE" w:eastAsia="en-US"/>
        </w:rPr>
        <w:t>management</w:t>
      </w:r>
      <w:r w:rsidRPr="003D13B0">
        <w:rPr>
          <w:rFonts w:eastAsiaTheme="minorHAnsi" w:cstheme="minorBidi"/>
          <w:noProof/>
          <w:szCs w:val="22"/>
          <w:lang w:val="en-IE" w:eastAsia="en-US"/>
        </w:rPr>
        <w:t xml:space="preserve"> </w:t>
      </w:r>
      <w:r w:rsidR="00304656">
        <w:rPr>
          <w:rFonts w:eastAsiaTheme="minorHAnsi" w:cstheme="minorBidi"/>
          <w:noProof/>
          <w:szCs w:val="22"/>
          <w:lang w:val="en-IE" w:eastAsia="en-US"/>
        </w:rPr>
        <w:t xml:space="preserve">system </w:t>
      </w:r>
      <w:r w:rsidRPr="003D13B0">
        <w:rPr>
          <w:rFonts w:eastAsiaTheme="minorHAnsi" w:cstheme="minorBidi"/>
          <w:noProof/>
          <w:szCs w:val="22"/>
          <w:lang w:val="en-IE" w:eastAsia="en-US"/>
        </w:rPr>
        <w:t>for judges, was further developed, while prosecutors have now access to their case files through the new National Electronic Case File (DEN)</w:t>
      </w:r>
      <w:r w:rsidRPr="003D13B0">
        <w:rPr>
          <w:rFonts w:eastAsiaTheme="minorHAnsi" w:cstheme="minorBidi"/>
          <w:noProof/>
          <w:szCs w:val="22"/>
          <w:vertAlign w:val="superscript"/>
          <w:lang w:val="en-IE" w:eastAsia="en-US"/>
        </w:rPr>
        <w:footnoteReference w:id="59"/>
      </w:r>
      <w:r w:rsidRPr="003D13B0">
        <w:rPr>
          <w:rFonts w:eastAsiaTheme="minorHAnsi" w:cstheme="minorBidi"/>
          <w:noProof/>
          <w:szCs w:val="22"/>
          <w:lang w:val="en-IE" w:eastAsia="en-US"/>
        </w:rPr>
        <w:t xml:space="preserve">. </w:t>
      </w:r>
      <w:r w:rsidRPr="003D13B0">
        <w:rPr>
          <w:rFonts w:eastAsiaTheme="minorHAnsi" w:cstheme="minorBidi"/>
          <w:noProof/>
          <w:szCs w:val="22"/>
          <w:lang w:val="en-US" w:eastAsia="en-US"/>
        </w:rPr>
        <w:t xml:space="preserve">The </w:t>
      </w:r>
      <w:r w:rsidR="001F71CA">
        <w:rPr>
          <w:rFonts w:eastAsiaTheme="minorHAnsi" w:cstheme="minorBidi"/>
          <w:noProof/>
          <w:szCs w:val="22"/>
          <w:lang w:val="en-US" w:eastAsia="en-US"/>
        </w:rPr>
        <w:t>UNBR</w:t>
      </w:r>
      <w:r w:rsidRPr="003D13B0">
        <w:rPr>
          <w:rFonts w:eastAsiaTheme="minorHAnsi" w:cstheme="minorBidi"/>
          <w:noProof/>
          <w:szCs w:val="22"/>
          <w:lang w:val="en-US" w:eastAsia="en-US"/>
        </w:rPr>
        <w:t xml:space="preserve"> highlighted both opportunities and risks of the digitalisation of justice systems, including cybersecurity concerns, illegal online services, and the need for safeguards when adopting AI tools</w:t>
      </w:r>
      <w:r w:rsidRPr="00CC0147">
        <w:rPr>
          <w:rFonts w:eastAsiaTheme="minorHAnsi" w:cstheme="minorBidi"/>
          <w:noProof/>
          <w:szCs w:val="22"/>
          <w:vertAlign w:val="superscript"/>
          <w:lang w:val="en-US" w:eastAsia="en-US"/>
        </w:rPr>
        <w:footnoteReference w:id="60"/>
      </w:r>
      <w:r w:rsidRPr="00CC0147">
        <w:rPr>
          <w:rFonts w:eastAsiaTheme="minorHAnsi" w:cstheme="minorBidi"/>
          <w:noProof/>
          <w:szCs w:val="22"/>
          <w:lang w:val="en-US" w:eastAsia="en-US"/>
        </w:rPr>
        <w:t>.</w:t>
      </w:r>
      <w:r w:rsidR="00E018DF" w:rsidRPr="00CC0147">
        <w:rPr>
          <w:rFonts w:eastAsiaTheme="minorHAnsi" w:cstheme="minorBidi"/>
          <w:noProof/>
          <w:szCs w:val="22"/>
          <w:lang w:val="en-US" w:eastAsia="en-US"/>
        </w:rPr>
        <w:t xml:space="preserve"> At the initiative of the President of Romania, the Just.AI Forum </w:t>
      </w:r>
      <w:r w:rsidR="00982D64" w:rsidRPr="00CC0147">
        <w:rPr>
          <w:rFonts w:eastAsiaTheme="minorHAnsi" w:cstheme="minorBidi"/>
          <w:noProof/>
          <w:szCs w:val="22"/>
          <w:lang w:val="en-US" w:eastAsia="en-US"/>
        </w:rPr>
        <w:t>–</w:t>
      </w:r>
      <w:r w:rsidR="00E018DF" w:rsidRPr="00CC0147">
        <w:rPr>
          <w:rFonts w:eastAsiaTheme="minorHAnsi" w:cstheme="minorBidi"/>
          <w:noProof/>
          <w:szCs w:val="22"/>
          <w:lang w:val="en-US" w:eastAsia="en-US"/>
        </w:rPr>
        <w:t xml:space="preserve"> a first permanent national platform for institutional dialogue on AI in justice </w:t>
      </w:r>
      <w:r w:rsidR="00982D64" w:rsidRPr="00CC0147">
        <w:rPr>
          <w:rFonts w:eastAsiaTheme="minorHAnsi" w:cstheme="minorBidi"/>
          <w:noProof/>
          <w:szCs w:val="22"/>
          <w:lang w:val="en-US" w:eastAsia="en-US"/>
        </w:rPr>
        <w:t>–</w:t>
      </w:r>
      <w:r w:rsidR="00E018DF" w:rsidRPr="00CC0147">
        <w:rPr>
          <w:rFonts w:eastAsiaTheme="minorHAnsi" w:cstheme="minorBidi"/>
          <w:noProof/>
          <w:szCs w:val="22"/>
          <w:lang w:val="en-US" w:eastAsia="en-US"/>
        </w:rPr>
        <w:t xml:space="preserve"> was established and operationalised, with dedicated working groups involving courts, prosecution services and other key public institutions</w:t>
      </w:r>
      <w:r w:rsidR="00E018DF" w:rsidRPr="00CC0147">
        <w:rPr>
          <w:rStyle w:val="FootnoteReference"/>
          <w:rFonts w:eastAsiaTheme="minorHAnsi" w:cstheme="minorBidi"/>
          <w:noProof/>
          <w:szCs w:val="22"/>
          <w:lang w:val="en-US" w:eastAsia="en-US"/>
        </w:rPr>
        <w:footnoteReference w:id="61"/>
      </w:r>
      <w:r w:rsidR="00E018DF" w:rsidRPr="00CC0147">
        <w:rPr>
          <w:rFonts w:eastAsiaTheme="minorHAnsi" w:cstheme="minorBidi"/>
          <w:noProof/>
          <w:szCs w:val="22"/>
          <w:lang w:val="en-US" w:eastAsia="en-US"/>
        </w:rPr>
        <w:t>.</w:t>
      </w:r>
    </w:p>
    <w:p w14:paraId="5FBA7A2D" w14:textId="77777777" w:rsidR="003D13B0" w:rsidRPr="003D13B0" w:rsidRDefault="003D13B0" w:rsidP="003D13B0">
      <w:pPr>
        <w:keepNext/>
        <w:outlineLvl w:val="1"/>
        <w:rPr>
          <w:b/>
          <w:noProof/>
          <w:szCs w:val="24"/>
          <w:lang w:val="en-IE" w:eastAsia="en-GB"/>
        </w:rPr>
      </w:pPr>
      <w:r w:rsidRPr="003D13B0">
        <w:rPr>
          <w:b/>
          <w:noProof/>
          <w:szCs w:val="24"/>
          <w:lang w:val="en-IE" w:eastAsia="en-GB"/>
        </w:rPr>
        <w:t>Efficiency</w:t>
      </w:r>
    </w:p>
    <w:p w14:paraId="0FEE04B7" w14:textId="77777777" w:rsidR="003D13B0" w:rsidRPr="003D13B0" w:rsidRDefault="003D13B0" w:rsidP="003D13B0">
      <w:pPr>
        <w:rPr>
          <w:noProof/>
          <w:lang w:val="en-IE" w:eastAsia="fr-FR"/>
        </w:rPr>
      </w:pPr>
      <w:r w:rsidRPr="003D13B0">
        <w:rPr>
          <w:b/>
          <w:noProof/>
          <w:szCs w:val="22"/>
          <w:lang w:val="en-IE" w:eastAsia="fr-FR"/>
        </w:rPr>
        <w:t>The estimated time needed to resolve civil, commercial, administrative and other cases decreased significantly and the clearance rate has improved.</w:t>
      </w:r>
      <w:r w:rsidRPr="003D13B0">
        <w:rPr>
          <w:noProof/>
          <w:szCs w:val="22"/>
          <w:lang w:val="en-IE" w:eastAsia="fr-FR"/>
        </w:rPr>
        <w:t xml:space="preserve"> </w:t>
      </w:r>
      <w:r w:rsidRPr="003D13B0">
        <w:rPr>
          <w:rFonts w:eastAsia="Calibri" w:cs="Arial"/>
          <w:noProof/>
          <w:szCs w:val="22"/>
          <w:lang w:val="en-IE" w:eastAsia="en-US"/>
        </w:rPr>
        <w:t>The time needed to resolve civil, commercial, administrative and other cases significantly decreased from 228 days in 2023 to 180 days in 2024, and the clearance rate of civil, commercial, administrative and other cases increased from 87% in 2023 to 99% in 2024.</w:t>
      </w:r>
      <w:r w:rsidRPr="003D13B0">
        <w:rPr>
          <w:noProof/>
          <w:szCs w:val="22"/>
          <w:lang w:val="en-IE" w:eastAsia="fr-FR"/>
        </w:rPr>
        <w:t xml:space="preserve"> Romania is still the Member State with the highest number of incoming civil and commercial litigious cases, a number which has been constantly increasing in previous years</w:t>
      </w:r>
      <w:r w:rsidRPr="003D13B0">
        <w:rPr>
          <w:noProof/>
          <w:szCs w:val="22"/>
          <w:vertAlign w:val="superscript"/>
          <w:lang w:val="en-IE" w:eastAsia="fr-FR"/>
        </w:rPr>
        <w:footnoteReference w:id="62"/>
      </w:r>
      <w:r w:rsidRPr="003D13B0">
        <w:rPr>
          <w:noProof/>
          <w:szCs w:val="22"/>
          <w:lang w:val="en-IE" w:eastAsia="fr-FR"/>
        </w:rPr>
        <w:t xml:space="preserve">. According to the Prosecutor General, this would also be linked, in criminal matters, </w:t>
      </w:r>
      <w:r w:rsidRPr="003D13B0">
        <w:rPr>
          <w:rFonts w:eastAsiaTheme="minorHAnsi" w:cstheme="minorBidi"/>
          <w:noProof/>
          <w:szCs w:val="22"/>
          <w:lang w:val="en-IE" w:eastAsia="en-US"/>
        </w:rPr>
        <w:t>to the fact that an investigation must be opened for every complaint (no opportunity assessment)</w:t>
      </w:r>
      <w:r w:rsidRPr="003D13B0">
        <w:rPr>
          <w:noProof/>
          <w:szCs w:val="22"/>
          <w:vertAlign w:val="superscript"/>
          <w:lang w:val="en-IE" w:eastAsia="fr-FR"/>
        </w:rPr>
        <w:footnoteReference w:id="63"/>
      </w:r>
      <w:r w:rsidRPr="003D13B0">
        <w:rPr>
          <w:rFonts w:eastAsiaTheme="minorHAnsi" w:cstheme="minorBidi"/>
          <w:noProof/>
          <w:szCs w:val="22"/>
          <w:lang w:val="en-IE" w:eastAsia="en-US"/>
        </w:rPr>
        <w:t>.</w:t>
      </w:r>
      <w:r w:rsidRPr="003D13B0">
        <w:rPr>
          <w:noProof/>
          <w:szCs w:val="22"/>
          <w:lang w:val="en-IE" w:eastAsia="fr-FR"/>
        </w:rPr>
        <w:t xml:space="preserve"> According to businesses, the duration of proceedings remains an important concern, especially in complex commercial, administrative or tax disputes. They also report that the reasoning of judicial decisions, which should be communicated within </w:t>
      </w:r>
      <w:r w:rsidRPr="003D13B0">
        <w:rPr>
          <w:rFonts w:eastAsiaTheme="minorHAnsi" w:cstheme="minorBidi"/>
          <w:noProof/>
          <w:szCs w:val="22"/>
          <w:lang w:val="en-IE" w:eastAsia="en-US"/>
        </w:rPr>
        <w:t>30 days after the adoption of the decision, sometimes reaches the parties after 2 or 3 years</w:t>
      </w:r>
      <w:r w:rsidRPr="003D13B0">
        <w:rPr>
          <w:noProof/>
          <w:szCs w:val="22"/>
          <w:vertAlign w:val="superscript"/>
          <w:lang w:val="en-IE" w:eastAsia="fr-FR"/>
        </w:rPr>
        <w:footnoteReference w:id="64"/>
      </w:r>
      <w:r w:rsidRPr="003D13B0">
        <w:rPr>
          <w:rFonts w:eastAsiaTheme="minorHAnsi" w:cstheme="minorBidi"/>
          <w:noProof/>
          <w:szCs w:val="22"/>
          <w:lang w:val="en-IE" w:eastAsia="en-US"/>
        </w:rPr>
        <w:t>.</w:t>
      </w:r>
    </w:p>
    <w:p w14:paraId="39379754" w14:textId="32789EE1" w:rsidR="003D13B0" w:rsidRPr="00B662FA" w:rsidRDefault="003D13B0" w:rsidP="00B662FA">
      <w:pPr>
        <w:pStyle w:val="ListParagraph"/>
        <w:keepNext/>
        <w:numPr>
          <w:ilvl w:val="0"/>
          <w:numId w:val="32"/>
        </w:numPr>
        <w:outlineLvl w:val="0"/>
        <w:rPr>
          <w:b/>
          <w:smallCaps/>
          <w:noProof/>
          <w:szCs w:val="24"/>
          <w:u w:val="single"/>
          <w:lang w:val="en-IE" w:eastAsia="fr-FR"/>
        </w:rPr>
      </w:pPr>
      <w:r w:rsidRPr="00B662FA">
        <w:rPr>
          <w:b/>
          <w:smallCaps/>
          <w:noProof/>
          <w:szCs w:val="24"/>
          <w:u w:val="single"/>
          <w:lang w:val="en-IE" w:eastAsia="fr-FR"/>
        </w:rPr>
        <w:t>Anti-Corruption Framework</w:t>
      </w:r>
    </w:p>
    <w:p w14:paraId="24B549DC" w14:textId="5233E14F" w:rsidR="003D13B0" w:rsidRPr="003D13B0" w:rsidRDefault="003D13B0" w:rsidP="003D13B0">
      <w:pPr>
        <w:rPr>
          <w:noProof/>
          <w:szCs w:val="22"/>
          <w:lang w:val="en-US" w:eastAsia="en-GB"/>
        </w:rPr>
      </w:pPr>
      <w:r w:rsidRPr="003D13B0">
        <w:rPr>
          <w:b/>
          <w:noProof/>
          <w:szCs w:val="22"/>
          <w:lang w:val="en-US" w:eastAsia="en-GB"/>
        </w:rPr>
        <w:t xml:space="preserve">The perception among experts, citizens and business executives is that the level of corruption in the public sector remains high. </w:t>
      </w:r>
      <w:r w:rsidRPr="003D13B0">
        <w:rPr>
          <w:noProof/>
          <w:szCs w:val="22"/>
          <w:lang w:val="en-US" w:eastAsia="en-GB"/>
        </w:rPr>
        <w:t>In the 2025 Corruption Perceptions Index by Transparency International, Romania scores 45/100 and ranks 25</w:t>
      </w:r>
      <w:r w:rsidRPr="003D13B0">
        <w:rPr>
          <w:noProof/>
          <w:szCs w:val="22"/>
          <w:vertAlign w:val="superscript"/>
          <w:lang w:val="en-US" w:eastAsia="en-GB"/>
        </w:rPr>
        <w:t>th</w:t>
      </w:r>
      <w:r w:rsidRPr="003D13B0">
        <w:rPr>
          <w:noProof/>
          <w:szCs w:val="22"/>
          <w:lang w:val="en-US" w:eastAsia="en-GB"/>
        </w:rPr>
        <w:t xml:space="preserve"> in the European Union and 70</w:t>
      </w:r>
      <w:r w:rsidRPr="003D13B0">
        <w:rPr>
          <w:noProof/>
          <w:szCs w:val="22"/>
          <w:vertAlign w:val="superscript"/>
          <w:lang w:val="en-US" w:eastAsia="en-GB"/>
        </w:rPr>
        <w:t>th</w:t>
      </w:r>
      <w:r w:rsidRPr="003D13B0">
        <w:rPr>
          <w:noProof/>
          <w:szCs w:val="22"/>
          <w:lang w:val="en-US" w:eastAsia="en-GB"/>
        </w:rPr>
        <w:t xml:space="preserve"> globally</w:t>
      </w:r>
      <w:r w:rsidRPr="003D13B0">
        <w:rPr>
          <w:noProof/>
          <w:szCs w:val="22"/>
          <w:vertAlign w:val="superscript"/>
          <w:lang w:val="en-US" w:eastAsia="en-GB"/>
        </w:rPr>
        <w:footnoteReference w:id="65"/>
      </w:r>
      <w:r w:rsidRPr="003D13B0">
        <w:rPr>
          <w:noProof/>
          <w:szCs w:val="22"/>
          <w:lang w:val="en-US" w:eastAsia="en-GB"/>
        </w:rPr>
        <w:t>. This perception has remained stable over the past five years</w:t>
      </w:r>
      <w:r w:rsidRPr="003D13B0">
        <w:rPr>
          <w:noProof/>
          <w:szCs w:val="22"/>
          <w:vertAlign w:val="superscript"/>
          <w:lang w:val="en-US" w:eastAsia="en-GB"/>
        </w:rPr>
        <w:footnoteReference w:id="66"/>
      </w:r>
      <w:r w:rsidRPr="003D13B0">
        <w:rPr>
          <w:noProof/>
          <w:szCs w:val="22"/>
          <w:lang w:val="en-US" w:eastAsia="en-GB"/>
        </w:rPr>
        <w:t>.</w:t>
      </w:r>
      <w:r w:rsidRPr="003D13B0">
        <w:rPr>
          <w:i/>
          <w:noProof/>
          <w:szCs w:val="22"/>
          <w:lang w:val="en-US" w:eastAsia="en-GB"/>
        </w:rPr>
        <w:t xml:space="preserve"> </w:t>
      </w:r>
      <w:r w:rsidRPr="003D13B0">
        <w:rPr>
          <w:noProof/>
          <w:szCs w:val="22"/>
          <w:lang w:val="en-US" w:eastAsia="en-GB"/>
        </w:rPr>
        <w:t>The 2026 Special Eurobarometer on Corruption shows that 71% of respondents consider corruption widespread in their country (EU average 71%) and 55% of respondents feel personally affected by corruption in their daily lives (EU average 30%). As regards businesses, 94% of companies consider that corruption is widespread (EU average 65%) and 73% consider that corruption is a problem when doing business (EU average 37%). Furthermore, 52% of respondents</w:t>
      </w:r>
      <w:r w:rsidRPr="003D13B0">
        <w:rPr>
          <w:b/>
          <w:noProof/>
          <w:szCs w:val="22"/>
          <w:lang w:val="en-US" w:eastAsia="en-GB"/>
        </w:rPr>
        <w:t xml:space="preserve"> </w:t>
      </w:r>
      <w:r w:rsidRPr="003D13B0">
        <w:rPr>
          <w:noProof/>
          <w:szCs w:val="22"/>
          <w:lang w:val="en-US" w:eastAsia="en-GB"/>
        </w:rPr>
        <w:t>find that there are enough successful prosecutions to deter people from corrupt practices (EU average 38%), while 30% of companies believe that people and businesses caught for bribing a senior official are appropriately punished (EU average 31%)</w:t>
      </w:r>
      <w:r w:rsidRPr="003D13B0">
        <w:rPr>
          <w:noProof/>
          <w:szCs w:val="22"/>
          <w:vertAlign w:val="superscript"/>
          <w:lang w:val="en-US" w:eastAsia="en-GB"/>
        </w:rPr>
        <w:footnoteReference w:id="67"/>
      </w:r>
      <w:r w:rsidRPr="003D13B0">
        <w:rPr>
          <w:noProof/>
          <w:szCs w:val="22"/>
          <w:lang w:val="en-US" w:eastAsia="en-GB"/>
        </w:rPr>
        <w:t>.</w:t>
      </w:r>
    </w:p>
    <w:p w14:paraId="59DF3651" w14:textId="233DDD35" w:rsidR="003D13B0" w:rsidRPr="003D13B0" w:rsidRDefault="003D13B0" w:rsidP="003D13B0">
      <w:pPr>
        <w:rPr>
          <w:noProof/>
          <w:szCs w:val="22"/>
          <w:lang w:val="en-IE" w:eastAsia="fr-FR"/>
        </w:rPr>
      </w:pPr>
      <w:r w:rsidRPr="003D13B0">
        <w:rPr>
          <w:b/>
          <w:bCs/>
          <w:noProof/>
          <w:szCs w:val="22"/>
          <w:lang w:val="en-IE" w:eastAsia="fr-FR"/>
        </w:rPr>
        <w:t xml:space="preserve">The evaluation of the 2021-2025 National Anti-Corruption Strategy has been finalised, and the next strategy is under preparation. </w:t>
      </w:r>
      <w:r w:rsidRPr="003D13B0">
        <w:rPr>
          <w:noProof/>
          <w:szCs w:val="22"/>
          <w:lang w:val="en-IE" w:eastAsia="fr-FR"/>
        </w:rPr>
        <w:t>The evaluation of the implementation of the measures and specific objectives set out in the Strategy was carried out by an external contractor and the final report has been published</w:t>
      </w:r>
      <w:r w:rsidRPr="003D13B0">
        <w:rPr>
          <w:noProof/>
          <w:szCs w:val="22"/>
          <w:vertAlign w:val="superscript"/>
          <w:lang w:val="en-IE" w:eastAsia="fr-FR"/>
        </w:rPr>
        <w:footnoteReference w:id="68"/>
      </w:r>
      <w:r w:rsidRPr="003D13B0">
        <w:rPr>
          <w:noProof/>
          <w:szCs w:val="22"/>
          <w:lang w:val="en-IE" w:eastAsia="fr-FR"/>
        </w:rPr>
        <w:t xml:space="preserve">. It notably recommends establishing clear budgetary planning and focussing the next anti-corruption strategy on a limited number of programmes. The Ministry of Justice is coordinating the preparation of the next strategy covering the 2026–2030 period. Consultations of public institutions and stakeholders have taken place in 2025 and have continued in the first half of 2026. The envisaged priority areas include prevention, notably through youth engagement, and </w:t>
      </w:r>
      <w:r w:rsidRPr="003D13B0">
        <w:rPr>
          <w:noProof/>
          <w:szCs w:val="22"/>
          <w:lang w:val="en-US" w:eastAsia="fr-FR"/>
        </w:rPr>
        <w:t>monitoring and evaluation mechanisms</w:t>
      </w:r>
      <w:r w:rsidRPr="003D13B0">
        <w:rPr>
          <w:noProof/>
          <w:szCs w:val="22"/>
          <w:vertAlign w:val="superscript"/>
          <w:lang w:val="en-IE" w:eastAsia="fr-FR"/>
        </w:rPr>
        <w:footnoteReference w:id="69"/>
      </w:r>
      <w:r w:rsidRPr="003D13B0">
        <w:rPr>
          <w:noProof/>
          <w:szCs w:val="22"/>
          <w:lang w:val="en-IE" w:eastAsia="fr-FR"/>
        </w:rPr>
        <w:t>.</w:t>
      </w:r>
      <w:r w:rsidR="00F23296">
        <w:rPr>
          <w:noProof/>
          <w:szCs w:val="22"/>
          <w:lang w:val="en-IE" w:eastAsia="fr-FR"/>
        </w:rPr>
        <w:t xml:space="preserve"> </w:t>
      </w:r>
      <w:r w:rsidR="0050184D" w:rsidRPr="0050184D">
        <w:rPr>
          <w:noProof/>
          <w:szCs w:val="22"/>
          <w:lang w:val="en-US" w:eastAsia="fr-FR"/>
        </w:rPr>
        <w:t>In October 2025, Romania adopted Law No. 156/2025</w:t>
      </w:r>
      <w:r w:rsidR="003C5E89" w:rsidRPr="003D13B0">
        <w:rPr>
          <w:noProof/>
          <w:szCs w:val="22"/>
          <w:vertAlign w:val="superscript"/>
          <w:lang w:val="en-IE" w:eastAsia="fr-FR"/>
        </w:rPr>
        <w:footnoteReference w:id="70"/>
      </w:r>
      <w:r w:rsidR="0050184D" w:rsidRPr="0050184D">
        <w:rPr>
          <w:noProof/>
          <w:szCs w:val="22"/>
          <w:lang w:val="en-US" w:eastAsia="fr-FR"/>
        </w:rPr>
        <w:t>, strengthening its legal framework for preventing and combating corruption in international business transactions</w:t>
      </w:r>
      <w:r w:rsidR="00582F95">
        <w:rPr>
          <w:noProof/>
          <w:szCs w:val="22"/>
          <w:lang w:val="en-US" w:eastAsia="fr-FR"/>
        </w:rPr>
        <w:t xml:space="preserve"> in order</w:t>
      </w:r>
      <w:r w:rsidR="0050184D" w:rsidRPr="0050184D">
        <w:rPr>
          <w:noProof/>
          <w:szCs w:val="22"/>
          <w:lang w:val="en-US" w:eastAsia="fr-FR"/>
        </w:rPr>
        <w:t xml:space="preserve"> </w:t>
      </w:r>
      <w:r w:rsidR="006638CA">
        <w:rPr>
          <w:noProof/>
          <w:szCs w:val="22"/>
          <w:lang w:val="en-US" w:eastAsia="fr-FR"/>
        </w:rPr>
        <w:t>to</w:t>
      </w:r>
      <w:r w:rsidR="0050184D" w:rsidRPr="0050184D">
        <w:rPr>
          <w:noProof/>
          <w:szCs w:val="22"/>
          <w:lang w:val="en-US" w:eastAsia="fr-FR"/>
        </w:rPr>
        <w:t xml:space="preserve"> </w:t>
      </w:r>
      <w:r w:rsidR="008713CE">
        <w:rPr>
          <w:noProof/>
          <w:szCs w:val="22"/>
          <w:lang w:val="en-US" w:eastAsia="fr-FR"/>
        </w:rPr>
        <w:t xml:space="preserve">align </w:t>
      </w:r>
      <w:r w:rsidR="00517827">
        <w:rPr>
          <w:noProof/>
          <w:szCs w:val="22"/>
          <w:lang w:val="en-US" w:eastAsia="fr-FR"/>
        </w:rPr>
        <w:t>it</w:t>
      </w:r>
      <w:r w:rsidR="008713CE">
        <w:rPr>
          <w:noProof/>
          <w:szCs w:val="22"/>
          <w:lang w:val="en-US" w:eastAsia="fr-FR"/>
        </w:rPr>
        <w:t xml:space="preserve"> </w:t>
      </w:r>
      <w:r w:rsidR="0050184D" w:rsidRPr="0050184D">
        <w:rPr>
          <w:noProof/>
          <w:szCs w:val="22"/>
          <w:lang w:val="en-US" w:eastAsia="fr-FR"/>
        </w:rPr>
        <w:t>with the recommendations of the OECD Working Group on Bribery (WGB)</w:t>
      </w:r>
      <w:r w:rsidR="00290FF1">
        <w:rPr>
          <w:rStyle w:val="FootnoteReference"/>
          <w:noProof/>
          <w:szCs w:val="22"/>
          <w:lang w:val="en-US" w:eastAsia="fr-FR"/>
        </w:rPr>
        <w:footnoteReference w:id="71"/>
      </w:r>
      <w:r w:rsidR="000373C4">
        <w:rPr>
          <w:noProof/>
          <w:szCs w:val="22"/>
          <w:lang w:val="en-US" w:eastAsia="fr-FR"/>
        </w:rPr>
        <w:t>.</w:t>
      </w:r>
    </w:p>
    <w:p w14:paraId="6333A082" w14:textId="194219B2" w:rsidR="003D13B0" w:rsidRPr="003D13B0" w:rsidRDefault="003D13B0" w:rsidP="003D13B0">
      <w:pPr>
        <w:rPr>
          <w:noProof/>
          <w:szCs w:val="22"/>
          <w:lang w:val="en-IE" w:eastAsia="fr-FR"/>
        </w:rPr>
      </w:pPr>
      <w:r w:rsidRPr="003D13B0">
        <w:rPr>
          <w:b/>
          <w:noProof/>
          <w:szCs w:val="22"/>
          <w:lang w:val="en-IE" w:eastAsia="fr-FR"/>
        </w:rPr>
        <w:t xml:space="preserve">The track record in prosecuting </w:t>
      </w:r>
      <w:r w:rsidR="00DF5E86" w:rsidRPr="004705A2">
        <w:rPr>
          <w:b/>
          <w:bCs/>
          <w:noProof/>
          <w:szCs w:val="22"/>
          <w:lang w:eastAsia="fr-FR"/>
        </w:rPr>
        <w:t xml:space="preserve">to both petty and high-level </w:t>
      </w:r>
      <w:r w:rsidRPr="003D13B0">
        <w:rPr>
          <w:b/>
          <w:noProof/>
          <w:szCs w:val="22"/>
          <w:lang w:val="en-IE" w:eastAsia="fr-FR"/>
        </w:rPr>
        <w:t>corruption has been maintained</w:t>
      </w:r>
      <w:r w:rsidR="006C6D49">
        <w:rPr>
          <w:b/>
          <w:noProof/>
          <w:szCs w:val="22"/>
          <w:lang w:val="en-IE" w:eastAsia="fr-FR"/>
        </w:rPr>
        <w:t xml:space="preserve"> compared to the previous year</w:t>
      </w:r>
      <w:r w:rsidRPr="003D13B0">
        <w:rPr>
          <w:b/>
          <w:noProof/>
          <w:szCs w:val="22"/>
          <w:lang w:val="en-IE" w:eastAsia="fr-FR"/>
        </w:rPr>
        <w:t xml:space="preserve">. </w:t>
      </w:r>
      <w:r w:rsidRPr="003D13B0">
        <w:rPr>
          <w:noProof/>
          <w:szCs w:val="22"/>
          <w:lang w:val="en-IE" w:eastAsia="fr-FR"/>
        </w:rPr>
        <w:t>This concerns both the General Prosecutor’s Office for petty corruption</w:t>
      </w:r>
      <w:r w:rsidRPr="003D13B0">
        <w:rPr>
          <w:noProof/>
          <w:szCs w:val="22"/>
          <w:vertAlign w:val="superscript"/>
          <w:lang w:val="en-IE" w:eastAsia="fr-FR"/>
        </w:rPr>
        <w:footnoteReference w:id="72"/>
      </w:r>
      <w:r w:rsidRPr="003D13B0">
        <w:rPr>
          <w:noProof/>
          <w:szCs w:val="22"/>
          <w:lang w:val="en-IE" w:eastAsia="fr-FR"/>
        </w:rPr>
        <w:t xml:space="preserve"> and the National Anti-Corruption Directorate (DNA) for the prosecution of high-level corruption</w:t>
      </w:r>
      <w:r w:rsidRPr="003D13B0">
        <w:rPr>
          <w:noProof/>
          <w:szCs w:val="22"/>
          <w:vertAlign w:val="superscript"/>
          <w:lang w:val="en-IE" w:eastAsia="fr-FR"/>
        </w:rPr>
        <w:footnoteReference w:id="73"/>
      </w:r>
      <w:r w:rsidRPr="003D13B0">
        <w:rPr>
          <w:noProof/>
          <w:szCs w:val="22"/>
          <w:lang w:val="en-IE" w:eastAsia="fr-FR"/>
        </w:rPr>
        <w:t>.</w:t>
      </w:r>
      <w:r w:rsidRPr="003D13B0">
        <w:rPr>
          <w:b/>
          <w:noProof/>
          <w:szCs w:val="22"/>
          <w:lang w:val="en-IE" w:eastAsia="fr-FR"/>
        </w:rPr>
        <w:t xml:space="preserve"> </w:t>
      </w:r>
      <w:r w:rsidRPr="003D13B0">
        <w:rPr>
          <w:noProof/>
          <w:szCs w:val="22"/>
          <w:lang w:val="en-IE" w:eastAsia="fr-FR"/>
        </w:rPr>
        <w:t>The workload of the DNA remains high with a similar number of cases as last year</w:t>
      </w:r>
      <w:r w:rsidRPr="003D13B0">
        <w:rPr>
          <w:noProof/>
          <w:szCs w:val="22"/>
          <w:vertAlign w:val="superscript"/>
          <w:lang w:val="en-IE" w:eastAsia="fr-FR"/>
        </w:rPr>
        <w:footnoteReference w:id="74"/>
      </w:r>
      <w:r w:rsidRPr="003D13B0">
        <w:rPr>
          <w:noProof/>
          <w:szCs w:val="22"/>
          <w:lang w:val="en-IE" w:eastAsia="fr-FR"/>
        </w:rPr>
        <w:t>. According to the DNA, the staffing level remains stable and sufficient</w:t>
      </w:r>
      <w:r w:rsidRPr="003D13B0">
        <w:rPr>
          <w:noProof/>
          <w:szCs w:val="22"/>
          <w:vertAlign w:val="superscript"/>
          <w:lang w:val="en-IE" w:eastAsia="fr-FR"/>
        </w:rPr>
        <w:footnoteReference w:id="75"/>
      </w:r>
      <w:r w:rsidRPr="003D13B0">
        <w:rPr>
          <w:noProof/>
          <w:szCs w:val="22"/>
          <w:lang w:val="en-IE" w:eastAsia="fr-FR"/>
        </w:rPr>
        <w:t>. Since 2022, the DNA has been investing in modernising its technical infrastructure, supporting the digital transformation, notably in the field of computer forensic searches</w:t>
      </w:r>
      <w:r w:rsidRPr="003D13B0">
        <w:rPr>
          <w:noProof/>
          <w:szCs w:val="22"/>
          <w:vertAlign w:val="superscript"/>
          <w:lang w:val="en-IE" w:eastAsia="fr-FR"/>
        </w:rPr>
        <w:footnoteReference w:id="76"/>
      </w:r>
      <w:r w:rsidRPr="003D13B0">
        <w:rPr>
          <w:noProof/>
          <w:szCs w:val="22"/>
          <w:lang w:val="en-IE" w:eastAsia="fr-FR"/>
        </w:rPr>
        <w:t>. The DNA</w:t>
      </w:r>
      <w:r w:rsidRPr="003D13B0" w:rsidDel="00873C31">
        <w:rPr>
          <w:noProof/>
          <w:szCs w:val="22"/>
          <w:lang w:val="en-IE" w:eastAsia="fr-FR"/>
        </w:rPr>
        <w:t xml:space="preserve"> </w:t>
      </w:r>
      <w:r w:rsidRPr="003D13B0">
        <w:rPr>
          <w:noProof/>
          <w:szCs w:val="22"/>
          <w:lang w:val="en-IE" w:eastAsia="fr-FR"/>
        </w:rPr>
        <w:t>indicates that notifications about possible corruption cases received from other national authorities which would allow it to conduct its work more efficiently are low</w:t>
      </w:r>
      <w:r w:rsidRPr="003D13B0">
        <w:rPr>
          <w:noProof/>
          <w:szCs w:val="22"/>
          <w:vertAlign w:val="superscript"/>
          <w:lang w:val="en-IE" w:eastAsia="fr-FR"/>
        </w:rPr>
        <w:footnoteReference w:id="77"/>
      </w:r>
      <w:r w:rsidRPr="003D13B0">
        <w:rPr>
          <w:noProof/>
          <w:szCs w:val="22"/>
          <w:lang w:val="en-IE" w:eastAsia="fr-FR"/>
        </w:rPr>
        <w:t>. In 2025, the EPPO investigated 43 corruption cases, which accounts for 8% of the total number of EPPO cases in Romania</w:t>
      </w:r>
      <w:r w:rsidRPr="003D13B0">
        <w:rPr>
          <w:noProof/>
          <w:szCs w:val="22"/>
          <w:vertAlign w:val="superscript"/>
          <w:lang w:val="en-IE" w:eastAsia="fr-FR"/>
        </w:rPr>
        <w:footnoteReference w:id="78"/>
      </w:r>
      <w:r w:rsidRPr="003D13B0">
        <w:rPr>
          <w:noProof/>
          <w:szCs w:val="22"/>
          <w:lang w:val="en-IE" w:eastAsia="fr-FR"/>
        </w:rPr>
        <w:t>.</w:t>
      </w:r>
    </w:p>
    <w:p w14:paraId="4EA18852" w14:textId="2DB38ED3" w:rsidR="003D13B0" w:rsidRPr="003D13B0" w:rsidRDefault="003D13B0" w:rsidP="003D13B0">
      <w:pPr>
        <w:rPr>
          <w:noProof/>
          <w:szCs w:val="22"/>
          <w:lang w:val="en-IE" w:eastAsia="fr-FR"/>
        </w:rPr>
      </w:pPr>
      <w:r w:rsidRPr="003D13B0">
        <w:rPr>
          <w:b/>
          <w:noProof/>
          <w:szCs w:val="22"/>
          <w:lang w:val="en-IE" w:eastAsia="fr-FR"/>
        </w:rPr>
        <w:t>Lower</w:t>
      </w:r>
      <w:r w:rsidRPr="003D13B0">
        <w:rPr>
          <w:noProof/>
          <w:szCs w:val="22"/>
          <w:lang w:val="en-IE" w:eastAsia="fr-FR"/>
        </w:rPr>
        <w:t xml:space="preserve"> </w:t>
      </w:r>
      <w:r w:rsidRPr="003D13B0">
        <w:rPr>
          <w:b/>
          <w:noProof/>
          <w:szCs w:val="22"/>
          <w:lang w:val="en-IE" w:eastAsia="fr-FR"/>
        </w:rPr>
        <w:t>courts have continued to close corruption cases and annul convictions</w:t>
      </w:r>
      <w:r w:rsidR="00D90DD7">
        <w:rPr>
          <w:b/>
          <w:noProof/>
          <w:szCs w:val="22"/>
          <w:lang w:val="en-IE" w:eastAsia="fr-FR"/>
        </w:rPr>
        <w:t xml:space="preserve"> </w:t>
      </w:r>
      <w:r w:rsidRPr="003D13B0">
        <w:rPr>
          <w:b/>
          <w:noProof/>
          <w:szCs w:val="22"/>
          <w:lang w:val="en-IE" w:eastAsia="fr-FR"/>
        </w:rPr>
        <w:t>following rulings by the High Court of Cassation and Justice on the statute of limitations.</w:t>
      </w:r>
      <w:r w:rsidRPr="003D13B0">
        <w:rPr>
          <w:noProof/>
          <w:szCs w:val="22"/>
          <w:lang w:val="en-IE" w:eastAsia="fr-FR"/>
        </w:rPr>
        <w:t xml:space="preserve"> The closing of corruption cases, including high level ones, and the release of defendants due to the statute of limitations, has continued, negatively affecting the perception by the public of the judiciary’s ability to effectively fight corruption</w:t>
      </w:r>
      <w:r w:rsidRPr="003D13B0">
        <w:rPr>
          <w:noProof/>
          <w:szCs w:val="22"/>
          <w:vertAlign w:val="superscript"/>
          <w:lang w:val="en-IE" w:eastAsia="fr-FR"/>
        </w:rPr>
        <w:footnoteReference w:id="79"/>
      </w:r>
      <w:r w:rsidRPr="003D13B0">
        <w:rPr>
          <w:noProof/>
          <w:szCs w:val="22"/>
          <w:lang w:val="en-IE" w:eastAsia="fr-FR"/>
        </w:rPr>
        <w:t>. Certain magistrates’ associations have nevertheless highlighted that limitation periods are, as such, sufficiently long</w:t>
      </w:r>
      <w:r w:rsidRPr="003D13B0" w:rsidDel="001D09F9">
        <w:rPr>
          <w:noProof/>
          <w:szCs w:val="22"/>
          <w:lang w:val="en-IE" w:eastAsia="fr-FR"/>
        </w:rPr>
        <w:t xml:space="preserve"> </w:t>
      </w:r>
      <w:r w:rsidRPr="003D13B0">
        <w:rPr>
          <w:noProof/>
          <w:szCs w:val="22"/>
          <w:lang w:val="en-IE" w:eastAsia="fr-FR"/>
        </w:rPr>
        <w:t>to conduct a case, despite the impact of these rulings</w:t>
      </w:r>
      <w:r w:rsidRPr="003D13B0">
        <w:rPr>
          <w:noProof/>
          <w:szCs w:val="22"/>
          <w:vertAlign w:val="superscript"/>
          <w:lang w:val="en-IE" w:eastAsia="fr-FR"/>
        </w:rPr>
        <w:footnoteReference w:id="80"/>
      </w:r>
      <w:r w:rsidRPr="003D13B0">
        <w:rPr>
          <w:noProof/>
          <w:szCs w:val="22"/>
          <w:lang w:val="en-IE" w:eastAsia="fr-FR"/>
        </w:rPr>
        <w:t>, whilst others have reported transfers of cases to other panels or courts, resulting in further delays leading to the case reaching its limitation period</w:t>
      </w:r>
      <w:r w:rsidRPr="003D13B0">
        <w:rPr>
          <w:noProof/>
          <w:szCs w:val="22"/>
          <w:vertAlign w:val="superscript"/>
          <w:lang w:val="en-IE" w:eastAsia="fr-FR"/>
        </w:rPr>
        <w:footnoteReference w:id="81"/>
      </w:r>
      <w:r w:rsidRPr="003D13B0">
        <w:rPr>
          <w:noProof/>
          <w:szCs w:val="22"/>
          <w:lang w:val="en-IE" w:eastAsia="fr-FR"/>
        </w:rPr>
        <w:t xml:space="preserve">. These rulings neutralise the interruption effect on the statute of limitations of procedural acts carried out before and after the 2018-2022 period, </w:t>
      </w:r>
      <w:r w:rsidRPr="003D13B0">
        <w:rPr>
          <w:noProof/>
          <w:szCs w:val="22"/>
          <w:lang w:val="en-US" w:eastAsia="fr-FR"/>
        </w:rPr>
        <w:t>thereby exacerbating the systemic risk that a certain number of criminal cases escape criminal penalty</w:t>
      </w:r>
      <w:r w:rsidRPr="003D13B0">
        <w:rPr>
          <w:noProof/>
          <w:szCs w:val="22"/>
          <w:vertAlign w:val="superscript"/>
          <w:lang w:val="en-IE" w:eastAsia="fr-FR"/>
        </w:rPr>
        <w:footnoteReference w:id="82"/>
      </w:r>
      <w:r w:rsidRPr="003D13B0">
        <w:rPr>
          <w:noProof/>
          <w:szCs w:val="22"/>
          <w:lang w:val="en-IE" w:eastAsia="fr-FR"/>
        </w:rPr>
        <w:t xml:space="preserve"> and raising certain questions under EU law</w:t>
      </w:r>
      <w:r w:rsidRPr="003D13B0">
        <w:rPr>
          <w:noProof/>
          <w:szCs w:val="22"/>
          <w:vertAlign w:val="superscript"/>
          <w:lang w:val="en-IE" w:eastAsia="fr-FR"/>
        </w:rPr>
        <w:footnoteReference w:id="83"/>
      </w:r>
      <w:r w:rsidRPr="003D13B0">
        <w:rPr>
          <w:noProof/>
          <w:szCs w:val="22"/>
          <w:lang w:val="en-IE" w:eastAsia="fr-FR"/>
        </w:rPr>
        <w:t>. According to the EPPO, the High Court of Cassation and Justice’s (HCCJ) rulings could affect its ability to carry out effective investigations regarding criminal offences affecting the financial interests of the Union in Romania</w:t>
      </w:r>
      <w:r w:rsidRPr="003D13B0">
        <w:rPr>
          <w:noProof/>
          <w:szCs w:val="22"/>
          <w:vertAlign w:val="superscript"/>
          <w:lang w:val="en-IE" w:eastAsia="fr-FR"/>
        </w:rPr>
        <w:footnoteReference w:id="84"/>
      </w:r>
      <w:r w:rsidRPr="003D13B0">
        <w:rPr>
          <w:noProof/>
          <w:szCs w:val="22"/>
          <w:lang w:val="en-IE" w:eastAsia="fr-FR"/>
        </w:rPr>
        <w:t>. At the same time, the HCCJ submitted referrals for preliminary rulings on this topic to the Court of Justice of the European Union</w:t>
      </w:r>
      <w:r w:rsidRPr="003D13B0">
        <w:rPr>
          <w:noProof/>
          <w:szCs w:val="22"/>
          <w:vertAlign w:val="superscript"/>
          <w:lang w:val="en-IE" w:eastAsia="fr-FR"/>
        </w:rPr>
        <w:footnoteReference w:id="85"/>
      </w:r>
      <w:r w:rsidR="00C94498">
        <w:rPr>
          <w:noProof/>
          <w:szCs w:val="22"/>
          <w:lang w:val="en-IE" w:eastAsia="fr-FR"/>
        </w:rPr>
        <w:t xml:space="preserve">. </w:t>
      </w:r>
      <w:r w:rsidR="006E44DB">
        <w:rPr>
          <w:noProof/>
          <w:szCs w:val="22"/>
          <w:lang w:val="en-IE" w:eastAsia="fr-FR"/>
        </w:rPr>
        <w:t>On</w:t>
      </w:r>
      <w:r w:rsidR="00C94498">
        <w:rPr>
          <w:noProof/>
          <w:szCs w:val="22"/>
          <w:lang w:val="en-IE" w:eastAsia="fr-FR"/>
        </w:rPr>
        <w:t xml:space="preserve"> 16 July</w:t>
      </w:r>
      <w:r w:rsidR="007613B0">
        <w:rPr>
          <w:noProof/>
          <w:szCs w:val="22"/>
          <w:lang w:val="en-IE" w:eastAsia="fr-FR"/>
        </w:rPr>
        <w:t xml:space="preserve"> 2026,</w:t>
      </w:r>
      <w:r w:rsidRPr="003D13B0">
        <w:rPr>
          <w:noProof/>
          <w:szCs w:val="22"/>
          <w:lang w:val="en-IE" w:eastAsia="fr-FR"/>
        </w:rPr>
        <w:t xml:space="preserve"> </w:t>
      </w:r>
      <w:r w:rsidR="006E44DB">
        <w:rPr>
          <w:noProof/>
          <w:szCs w:val="22"/>
          <w:lang w:val="en-IE" w:eastAsia="fr-FR"/>
        </w:rPr>
        <w:t xml:space="preserve">the </w:t>
      </w:r>
      <w:r w:rsidR="006E44DB" w:rsidRPr="00CC0147">
        <w:rPr>
          <w:noProof/>
          <w:szCs w:val="22"/>
          <w:lang w:val="en-IE" w:eastAsia="fr-FR"/>
        </w:rPr>
        <w:t xml:space="preserve">Court </w:t>
      </w:r>
      <w:r w:rsidR="003A22BA" w:rsidRPr="00CC0147">
        <w:rPr>
          <w:noProof/>
          <w:szCs w:val="22"/>
          <w:lang w:val="en-IE" w:eastAsia="fr-FR"/>
        </w:rPr>
        <w:t xml:space="preserve">of Justice </w:t>
      </w:r>
      <w:r w:rsidRPr="00CC0147">
        <w:rPr>
          <w:noProof/>
          <w:szCs w:val="22"/>
          <w:lang w:val="en-IE" w:eastAsia="fr-FR"/>
        </w:rPr>
        <w:t>clarif</w:t>
      </w:r>
      <w:r w:rsidR="00BF23FC" w:rsidRPr="00CC0147">
        <w:rPr>
          <w:noProof/>
          <w:szCs w:val="22"/>
          <w:lang w:val="en-IE" w:eastAsia="fr-FR"/>
        </w:rPr>
        <w:t>ied</w:t>
      </w:r>
      <w:r w:rsidRPr="003D13B0">
        <w:rPr>
          <w:noProof/>
          <w:szCs w:val="22"/>
          <w:lang w:val="en-IE" w:eastAsia="fr-FR"/>
        </w:rPr>
        <w:t xml:space="preserve"> </w:t>
      </w:r>
      <w:r w:rsidR="006E44DB">
        <w:rPr>
          <w:noProof/>
          <w:szCs w:val="22"/>
          <w:lang w:val="en-IE" w:eastAsia="fr-FR"/>
        </w:rPr>
        <w:t>certain</w:t>
      </w:r>
      <w:r w:rsidR="00AC5E69">
        <w:rPr>
          <w:noProof/>
          <w:szCs w:val="22"/>
          <w:lang w:val="en-IE" w:eastAsia="fr-FR"/>
        </w:rPr>
        <w:t xml:space="preserve"> </w:t>
      </w:r>
      <w:r w:rsidRPr="003D13B0">
        <w:rPr>
          <w:noProof/>
          <w:szCs w:val="22"/>
          <w:lang w:val="en-IE" w:eastAsia="fr-FR"/>
        </w:rPr>
        <w:t>questions under EU law</w:t>
      </w:r>
      <w:r w:rsidRPr="003D13B0">
        <w:rPr>
          <w:noProof/>
          <w:szCs w:val="22"/>
          <w:lang w:val="en-US" w:eastAsia="fr-FR"/>
        </w:rPr>
        <w:t xml:space="preserve"> raised by the current situation</w:t>
      </w:r>
      <w:r w:rsidRPr="003D13B0">
        <w:rPr>
          <w:noProof/>
          <w:lang w:val="en-IE" w:eastAsia="fr-FR"/>
        </w:rPr>
        <w:t>.</w:t>
      </w:r>
    </w:p>
    <w:p w14:paraId="25F79D9D" w14:textId="58368084" w:rsidR="003D13B0" w:rsidRPr="003D13B0" w:rsidRDefault="003D13B0" w:rsidP="4803FD3F">
      <w:pPr>
        <w:rPr>
          <w:i/>
          <w:iCs/>
          <w:noProof/>
          <w:lang w:eastAsia="fr-FR"/>
        </w:rPr>
      </w:pPr>
      <w:r w:rsidRPr="4803FD3F">
        <w:rPr>
          <w:b/>
          <w:bCs/>
          <w:noProof/>
          <w:lang w:eastAsia="fr-FR"/>
        </w:rPr>
        <w:t>There has been</w:t>
      </w:r>
      <w:r w:rsidRPr="4803FD3F">
        <w:rPr>
          <w:noProof/>
          <w:lang w:eastAsia="fr-FR"/>
        </w:rPr>
        <w:t xml:space="preserve"> </w:t>
      </w:r>
      <w:r w:rsidRPr="4803FD3F">
        <w:rPr>
          <w:b/>
          <w:bCs/>
          <w:noProof/>
          <w:lang w:eastAsia="fr-FR"/>
        </w:rPr>
        <w:t>no further progress on the recommendation to take measures to ensure the effective investigation and prosecution of corruption offenses in the judiciary</w:t>
      </w:r>
      <w:r w:rsidRPr="4803FD3F">
        <w:rPr>
          <w:b/>
          <w:bCs/>
          <w:noProof/>
          <w:vertAlign w:val="superscript"/>
          <w:lang w:eastAsia="fr-FR"/>
        </w:rPr>
        <w:footnoteReference w:id="86"/>
      </w:r>
      <w:r w:rsidRPr="4803FD3F">
        <w:rPr>
          <w:noProof/>
          <w:lang w:eastAsia="fr-FR"/>
        </w:rPr>
        <w:t>. Such offences are of the competence of delegated prosecutors within the Prosecutor’s Offices attached to the HCCJ and to courts of appeal</w:t>
      </w:r>
      <w:r w:rsidRPr="4803FD3F">
        <w:rPr>
          <w:noProof/>
          <w:vertAlign w:val="superscript"/>
          <w:lang w:eastAsia="fr-FR"/>
        </w:rPr>
        <w:footnoteReference w:id="87"/>
      </w:r>
      <w:r w:rsidRPr="4803FD3F">
        <w:rPr>
          <w:noProof/>
          <w:lang w:eastAsia="fr-FR"/>
        </w:rPr>
        <w:t>. Delegated prosecutors attached to the HCCJ issued two indictments in 2025, and those attached to courts of appeal did not issue any</w:t>
      </w:r>
      <w:r w:rsidRPr="4803FD3F">
        <w:rPr>
          <w:noProof/>
          <w:vertAlign w:val="superscript"/>
          <w:lang w:eastAsia="fr-FR"/>
        </w:rPr>
        <w:footnoteReference w:id="88"/>
      </w:r>
      <w:r w:rsidRPr="4803FD3F">
        <w:rPr>
          <w:noProof/>
          <w:lang w:eastAsia="fr-FR"/>
        </w:rPr>
        <w:t>.</w:t>
      </w:r>
      <w:r w:rsidR="00C1689E">
        <w:rPr>
          <w:noProof/>
          <w:lang w:eastAsia="fr-FR"/>
        </w:rPr>
        <w:t xml:space="preserve"> </w:t>
      </w:r>
      <w:r w:rsidR="00BF6DC1">
        <w:rPr>
          <w:noProof/>
          <w:lang w:val="en-US" w:eastAsia="fr-FR"/>
        </w:rPr>
        <w:t>E</w:t>
      </w:r>
      <w:r w:rsidR="00E76D8E" w:rsidRPr="00E76D8E">
        <w:rPr>
          <w:noProof/>
          <w:lang w:val="en-US" w:eastAsia="fr-FR"/>
        </w:rPr>
        <w:t xml:space="preserve">fforts </w:t>
      </w:r>
      <w:r w:rsidR="00BF6DC1">
        <w:rPr>
          <w:noProof/>
          <w:lang w:val="en-US" w:eastAsia="fr-FR"/>
        </w:rPr>
        <w:t xml:space="preserve">have </w:t>
      </w:r>
      <w:r w:rsidR="00E76D8E" w:rsidRPr="00E76D8E">
        <w:rPr>
          <w:noProof/>
          <w:lang w:val="en-US" w:eastAsia="fr-FR"/>
        </w:rPr>
        <w:t xml:space="preserve">continued to resolve the </w:t>
      </w:r>
      <w:r w:rsidR="007E4E20">
        <w:rPr>
          <w:noProof/>
          <w:lang w:val="en-US" w:eastAsia="fr-FR"/>
        </w:rPr>
        <w:t xml:space="preserve">pending </w:t>
      </w:r>
      <w:r w:rsidR="00E76D8E" w:rsidRPr="00E76D8E">
        <w:rPr>
          <w:noProof/>
          <w:lang w:val="en-US" w:eastAsia="fr-FR"/>
        </w:rPr>
        <w:t>case</w:t>
      </w:r>
      <w:r w:rsidR="007E4E20">
        <w:rPr>
          <w:noProof/>
          <w:lang w:val="en-US" w:eastAsia="fr-FR"/>
        </w:rPr>
        <w:t>s</w:t>
      </w:r>
      <w:r w:rsidR="00E76D8E" w:rsidRPr="00E76D8E">
        <w:rPr>
          <w:noProof/>
          <w:lang w:val="en-US" w:eastAsia="fr-FR"/>
        </w:rPr>
        <w:t xml:space="preserve"> transferred from the former Section for the Investigation of Offences</w:t>
      </w:r>
      <w:r w:rsidR="009D5E8D">
        <w:rPr>
          <w:noProof/>
          <w:lang w:val="en-US" w:eastAsia="fr-FR"/>
        </w:rPr>
        <w:t xml:space="preserve"> </w:t>
      </w:r>
      <w:r w:rsidR="00E76D8E" w:rsidRPr="00CC0147">
        <w:rPr>
          <w:noProof/>
          <w:lang w:val="en-US" w:eastAsia="fr-FR"/>
        </w:rPr>
        <w:t xml:space="preserve"> within the </w:t>
      </w:r>
      <w:r w:rsidR="00485366" w:rsidRPr="00CC0147">
        <w:rPr>
          <w:noProof/>
          <w:lang w:val="en-US" w:eastAsia="fr-FR"/>
        </w:rPr>
        <w:t>j</w:t>
      </w:r>
      <w:r w:rsidR="00E76D8E" w:rsidRPr="00CC0147">
        <w:rPr>
          <w:noProof/>
          <w:lang w:val="en-US" w:eastAsia="fr-FR"/>
        </w:rPr>
        <w:t>udiciary</w:t>
      </w:r>
      <w:r w:rsidR="000911E3" w:rsidRPr="00CC0147">
        <w:rPr>
          <w:noProof/>
          <w:lang w:val="en-US" w:eastAsia="fr-FR"/>
        </w:rPr>
        <w:t xml:space="preserve"> (SIIJ)</w:t>
      </w:r>
      <w:r w:rsidR="00925D4A" w:rsidRPr="00CC0147">
        <w:rPr>
          <w:rStyle w:val="FootnoteReference"/>
          <w:noProof/>
          <w:lang w:val="en-US" w:eastAsia="fr-FR"/>
        </w:rPr>
        <w:footnoteReference w:id="89"/>
      </w:r>
      <w:r w:rsidR="00E76D8E" w:rsidRPr="00CC0147">
        <w:rPr>
          <w:noProof/>
          <w:lang w:val="en-US" w:eastAsia="fr-FR"/>
        </w:rPr>
        <w:t>.</w:t>
      </w:r>
      <w:r w:rsidR="00E76D8E" w:rsidRPr="00E76D8E">
        <w:rPr>
          <w:noProof/>
          <w:lang w:val="en-US" w:eastAsia="fr-FR"/>
        </w:rPr>
        <w:t xml:space="preserve"> </w:t>
      </w:r>
      <w:r w:rsidRPr="4803FD3F">
        <w:rPr>
          <w:noProof/>
          <w:lang w:eastAsia="fr-FR"/>
        </w:rPr>
        <w:t>The General Prosecutor underlined the insufficient number of police officers seconded to his office and their lack of expertise on corruption cases</w:t>
      </w:r>
      <w:r w:rsidRPr="4803FD3F">
        <w:rPr>
          <w:noProof/>
          <w:vertAlign w:val="superscript"/>
          <w:lang w:eastAsia="fr-FR"/>
        </w:rPr>
        <w:footnoteReference w:id="90"/>
      </w:r>
      <w:r w:rsidRPr="4803FD3F">
        <w:rPr>
          <w:noProof/>
          <w:lang w:eastAsia="fr-FR"/>
        </w:rPr>
        <w:t>, as well as the continued difficulty to fill vacancies</w:t>
      </w:r>
      <w:r w:rsidRPr="4803FD3F">
        <w:rPr>
          <w:noProof/>
          <w:vertAlign w:val="superscript"/>
          <w:lang w:eastAsia="fr-FR"/>
        </w:rPr>
        <w:footnoteReference w:id="91"/>
      </w:r>
      <w:r w:rsidRPr="4803FD3F">
        <w:rPr>
          <w:noProof/>
          <w:lang w:eastAsia="fr-FR"/>
        </w:rPr>
        <w:t xml:space="preserve"> due to the nomination procedure, and in particular the requirement of approval by both the judges’ and prosecutors’ sections of the Superior Council of Magistracy (CSM)</w:t>
      </w:r>
      <w:r w:rsidRPr="4803FD3F">
        <w:rPr>
          <w:noProof/>
          <w:vertAlign w:val="superscript"/>
          <w:lang w:eastAsia="fr-FR"/>
        </w:rPr>
        <w:footnoteReference w:id="92"/>
      </w:r>
      <w:r w:rsidRPr="4803FD3F">
        <w:rPr>
          <w:noProof/>
          <w:lang w:eastAsia="fr-FR"/>
        </w:rPr>
        <w:t xml:space="preserve">. </w:t>
      </w:r>
      <w:r w:rsidRPr="002813B8">
        <w:rPr>
          <w:noProof/>
          <w:lang w:eastAsia="fr-FR"/>
        </w:rPr>
        <w:t xml:space="preserve">These issues were raised with the Committee for the </w:t>
      </w:r>
      <w:r w:rsidR="00A3059B">
        <w:rPr>
          <w:noProof/>
          <w:lang w:eastAsia="fr-FR"/>
        </w:rPr>
        <w:t xml:space="preserve">Review and </w:t>
      </w:r>
      <w:r w:rsidRPr="002813B8">
        <w:rPr>
          <w:noProof/>
          <w:lang w:eastAsia="fr-FR"/>
        </w:rPr>
        <w:t>Revision of the Justice Laws</w:t>
      </w:r>
      <w:r w:rsidR="00C41984">
        <w:rPr>
          <w:noProof/>
          <w:lang w:eastAsia="fr-FR"/>
        </w:rPr>
        <w:t>,</w:t>
      </w:r>
      <w:r w:rsidR="00941A9C" w:rsidRPr="002813B8">
        <w:rPr>
          <w:noProof/>
          <w:lang w:eastAsia="fr-FR"/>
        </w:rPr>
        <w:t xml:space="preserve"> and the </w:t>
      </w:r>
      <w:r w:rsidR="004445E2" w:rsidRPr="002813B8">
        <w:rPr>
          <w:noProof/>
          <w:lang w:eastAsia="fr-FR"/>
        </w:rPr>
        <w:t>Committee’s</w:t>
      </w:r>
      <w:r w:rsidR="00AD682D" w:rsidRPr="002813B8">
        <w:rPr>
          <w:noProof/>
          <w:lang w:eastAsia="fr-FR"/>
        </w:rPr>
        <w:t xml:space="preserve"> report</w:t>
      </w:r>
      <w:r w:rsidR="006A3C32" w:rsidRPr="002813B8">
        <w:rPr>
          <w:noProof/>
          <w:lang w:eastAsia="fr-FR"/>
        </w:rPr>
        <w:t xml:space="preserve"> </w:t>
      </w:r>
      <w:r w:rsidR="00563A94" w:rsidRPr="002813B8">
        <w:rPr>
          <w:noProof/>
          <w:lang w:eastAsia="fr-FR"/>
        </w:rPr>
        <w:t>recommend</w:t>
      </w:r>
      <w:r w:rsidR="00AD682D" w:rsidRPr="002813B8">
        <w:rPr>
          <w:noProof/>
          <w:lang w:eastAsia="fr-FR"/>
        </w:rPr>
        <w:t>s</w:t>
      </w:r>
      <w:r w:rsidRPr="002813B8">
        <w:rPr>
          <w:noProof/>
          <w:lang w:eastAsia="fr-FR"/>
        </w:rPr>
        <w:t xml:space="preserve"> to strengthen the effectiveness of investigations and prosecutions of corruption offenses by magistrates, including by returning this competence to the DNA</w:t>
      </w:r>
      <w:r w:rsidRPr="002813B8">
        <w:rPr>
          <w:noProof/>
          <w:vertAlign w:val="superscript"/>
          <w:lang w:eastAsia="fr-FR"/>
        </w:rPr>
        <w:footnoteReference w:id="93"/>
      </w:r>
      <w:r w:rsidRPr="002813B8">
        <w:rPr>
          <w:noProof/>
          <w:lang w:eastAsia="fr-FR"/>
        </w:rPr>
        <w:t>.</w:t>
      </w:r>
      <w:r w:rsidRPr="008B0906">
        <w:rPr>
          <w:noProof/>
          <w:lang w:eastAsia="fr-FR"/>
        </w:rPr>
        <w:t xml:space="preserve"> As</w:t>
      </w:r>
      <w:r w:rsidRPr="4803FD3F">
        <w:rPr>
          <w:noProof/>
          <w:lang w:eastAsia="fr-FR"/>
        </w:rPr>
        <w:t xml:space="preserve"> no measures were taken to address remaining shortcomings, there has been no further progress in ensuring the effective investigation and prosecution of corruption offenses in the judiciary.</w:t>
      </w:r>
    </w:p>
    <w:p w14:paraId="27665220" w14:textId="1258C984" w:rsidR="003D13B0" w:rsidRPr="003D13B0" w:rsidRDefault="003D13B0" w:rsidP="003D13B0">
      <w:pPr>
        <w:rPr>
          <w:noProof/>
          <w:lang w:val="en-IE" w:eastAsia="fr-FR"/>
        </w:rPr>
      </w:pPr>
      <w:r w:rsidRPr="003D13B0">
        <w:rPr>
          <w:b/>
          <w:noProof/>
          <w:lang w:val="en-IE" w:eastAsia="fr-FR"/>
        </w:rPr>
        <w:t xml:space="preserve">New legislation on revolving doors was adopted in November 2025. </w:t>
      </w:r>
      <w:r w:rsidRPr="003D13B0">
        <w:rPr>
          <w:noProof/>
          <w:lang w:val="en-IE" w:eastAsia="fr-FR"/>
        </w:rPr>
        <w:t>The law</w:t>
      </w:r>
      <w:r w:rsidRPr="003D13B0">
        <w:rPr>
          <w:noProof/>
          <w:vertAlign w:val="superscript"/>
          <w:lang w:val="en-IE" w:eastAsia="fr-FR"/>
        </w:rPr>
        <w:footnoteReference w:id="94"/>
      </w:r>
      <w:r w:rsidRPr="003D13B0">
        <w:rPr>
          <w:noProof/>
          <w:lang w:val="en-IE" w:eastAsia="fr-FR"/>
        </w:rPr>
        <w:t xml:space="preserve"> harmonises pre- and post-employment restrictions which apply over a 12-month period to a wide range of public officials</w:t>
      </w:r>
      <w:r w:rsidRPr="003D13B0">
        <w:rPr>
          <w:noProof/>
          <w:vertAlign w:val="superscript"/>
          <w:lang w:val="en-IE" w:eastAsia="fr-FR"/>
        </w:rPr>
        <w:footnoteReference w:id="95"/>
      </w:r>
      <w:r w:rsidRPr="003D13B0">
        <w:rPr>
          <w:noProof/>
          <w:lang w:val="en-IE" w:eastAsia="fr-FR"/>
        </w:rPr>
        <w:t xml:space="preserve">. The system is based on individual declarations which are examined by </w:t>
      </w:r>
      <w:r w:rsidRPr="003D13B0">
        <w:rPr>
          <w:bCs/>
          <w:noProof/>
          <w:lang w:val="en-IE" w:eastAsia="fr-FR"/>
        </w:rPr>
        <w:t>the National Integrity Agency (</w:t>
      </w:r>
      <w:r w:rsidRPr="003D13B0">
        <w:rPr>
          <w:noProof/>
          <w:lang w:val="en-IE" w:eastAsia="fr-FR"/>
        </w:rPr>
        <w:t>ANI</w:t>
      </w:r>
      <w:r w:rsidRPr="003D13B0">
        <w:rPr>
          <w:bCs/>
          <w:noProof/>
          <w:lang w:val="en-IE" w:eastAsia="fr-FR"/>
        </w:rPr>
        <w:t>).</w:t>
      </w:r>
      <w:r w:rsidRPr="003D13B0">
        <w:rPr>
          <w:noProof/>
          <w:lang w:val="en-IE" w:eastAsia="fr-FR"/>
        </w:rPr>
        <w:t xml:space="preserve"> </w:t>
      </w:r>
      <w:r w:rsidRPr="003D13B0">
        <w:rPr>
          <w:bCs/>
          <w:noProof/>
          <w:lang w:val="en-IE" w:eastAsia="fr-FR"/>
        </w:rPr>
        <w:t>ANI</w:t>
      </w:r>
      <w:r w:rsidRPr="003D13B0">
        <w:rPr>
          <w:noProof/>
          <w:lang w:val="en-IE" w:eastAsia="fr-FR"/>
        </w:rPr>
        <w:t xml:space="preserve"> monitors compliance with the restrictions and, when relevant, may impose administrative penalties provided by the law, applicable to both individuals and public institutions. Its inspectors have also conducted information campaigns and training. ANI is currently adapting its e-DAI platform to integrate such declarations and include an automatic alert system of potential breaches. As from 2027, the Agency will publish statistics annually (e.g. number of breaches and notifications), based on information provided by public institutions and authorities</w:t>
      </w:r>
      <w:r w:rsidRPr="003D13B0">
        <w:rPr>
          <w:noProof/>
          <w:vertAlign w:val="superscript"/>
          <w:lang w:val="en-IE" w:eastAsia="fr-FR"/>
        </w:rPr>
        <w:footnoteReference w:id="96"/>
      </w:r>
      <w:r w:rsidRPr="003D13B0">
        <w:rPr>
          <w:noProof/>
          <w:lang w:val="en-IE" w:eastAsia="fr-FR"/>
        </w:rPr>
        <w:t>.</w:t>
      </w:r>
    </w:p>
    <w:p w14:paraId="1B69510C" w14:textId="73377676" w:rsidR="003D13B0" w:rsidRPr="003D13B0" w:rsidRDefault="003D13B0" w:rsidP="003D13B0">
      <w:pPr>
        <w:rPr>
          <w:rFonts w:eastAsiaTheme="minorHAnsi" w:cstheme="minorBidi"/>
          <w:noProof/>
          <w:szCs w:val="22"/>
          <w:lang w:val="en-IE" w:eastAsia="ro-RO"/>
        </w:rPr>
      </w:pPr>
      <w:r w:rsidRPr="003D13B0">
        <w:rPr>
          <w:b/>
          <w:bCs/>
          <w:noProof/>
          <w:szCs w:val="22"/>
          <w:lang w:val="en-IE" w:eastAsia="fr-FR"/>
        </w:rPr>
        <w:t>A new Code of Ethics for the government introduced by law in April 2025 is being implemented</w:t>
      </w:r>
      <w:r w:rsidRPr="003D13B0">
        <w:rPr>
          <w:noProof/>
          <w:szCs w:val="22"/>
          <w:vertAlign w:val="superscript"/>
          <w:lang w:val="en-IE" w:eastAsia="fr-FR"/>
        </w:rPr>
        <w:footnoteReference w:id="97"/>
      </w:r>
      <w:r w:rsidRPr="003D13B0">
        <w:rPr>
          <w:b/>
          <w:bCs/>
          <w:noProof/>
          <w:szCs w:val="22"/>
          <w:lang w:val="en-IE" w:eastAsia="fr-FR"/>
        </w:rPr>
        <w:t xml:space="preserve">. </w:t>
      </w:r>
      <w:r w:rsidRPr="003D13B0">
        <w:rPr>
          <w:noProof/>
          <w:szCs w:val="22"/>
          <w:lang w:val="en-IE" w:eastAsia="fr-FR"/>
        </w:rPr>
        <w:t>It covers a wide range of officials, from the Prime Minister and their advisors to Ministers and Secretaries of State and their equivalents in ministries or specialised central bodies. The new law includes a prohibition on gifts (above EUR 100), monitored by a special committee, and provisions on publication. Ethics advisors may provide guidance upon request</w:t>
      </w:r>
      <w:r w:rsidRPr="003D13B0">
        <w:rPr>
          <w:noProof/>
          <w:szCs w:val="22"/>
          <w:vertAlign w:val="superscript"/>
          <w:lang w:val="en-IE" w:eastAsia="fr-FR"/>
        </w:rPr>
        <w:footnoteReference w:id="98"/>
      </w:r>
      <w:r w:rsidRPr="003D13B0">
        <w:rPr>
          <w:noProof/>
          <w:szCs w:val="22"/>
          <w:lang w:val="en-IE" w:eastAsia="fr-FR"/>
        </w:rPr>
        <w:t xml:space="preserve">. ANI </w:t>
      </w:r>
      <w:r w:rsidRPr="003D13B0">
        <w:rPr>
          <w:rFonts w:eastAsiaTheme="minorHAnsi" w:cstheme="minorBidi"/>
          <w:noProof/>
          <w:szCs w:val="22"/>
          <w:lang w:val="en-IE" w:eastAsia="en-US"/>
        </w:rPr>
        <w:t xml:space="preserve">is mandated to give training on the Code of Ethics to members of government when they take office. </w:t>
      </w:r>
      <w:r w:rsidRPr="003D13B0">
        <w:rPr>
          <w:rFonts w:eastAsiaTheme="minorHAnsi" w:cstheme="minorBidi"/>
          <w:noProof/>
          <w:szCs w:val="22"/>
          <w:lang w:val="en-IE" w:eastAsia="ro-RO"/>
        </w:rPr>
        <w:t>There are still no clear rules on gifts, hospitality, favours and other benefits of members of Parliament</w:t>
      </w:r>
      <w:r w:rsidRPr="003D13B0">
        <w:rPr>
          <w:rFonts w:eastAsiaTheme="minorHAnsi" w:cstheme="minorBidi"/>
          <w:noProof/>
          <w:szCs w:val="22"/>
          <w:vertAlign w:val="superscript"/>
          <w:lang w:val="en-IE" w:eastAsia="ro-RO"/>
        </w:rPr>
        <w:footnoteReference w:id="99"/>
      </w:r>
      <w:r w:rsidRPr="003D13B0">
        <w:rPr>
          <w:rFonts w:eastAsiaTheme="minorHAnsi" w:cstheme="minorBidi"/>
          <w:noProof/>
          <w:szCs w:val="22"/>
          <w:lang w:val="en-IE" w:eastAsia="ro-RO"/>
        </w:rPr>
        <w:t>.</w:t>
      </w:r>
    </w:p>
    <w:p w14:paraId="3256EE69" w14:textId="31C87ED6" w:rsidR="003D13B0" w:rsidRPr="003D13B0" w:rsidRDefault="003D13B0" w:rsidP="003D13B0">
      <w:pPr>
        <w:rPr>
          <w:noProof/>
          <w:szCs w:val="22"/>
          <w:lang w:val="en-IE" w:eastAsia="fr-FR"/>
        </w:rPr>
      </w:pPr>
      <w:r w:rsidRPr="003D13B0">
        <w:rPr>
          <w:b/>
          <w:bCs/>
          <w:noProof/>
          <w:szCs w:val="22"/>
          <w:lang w:val="en-IE" w:eastAsia="fr-FR"/>
        </w:rPr>
        <w:t>Some progress has been made on the recommendation to ensure the effectiveness of the asset declaration system</w:t>
      </w:r>
      <w:r w:rsidRPr="003D13B0">
        <w:rPr>
          <w:b/>
          <w:bCs/>
          <w:noProof/>
          <w:szCs w:val="22"/>
          <w:vertAlign w:val="superscript"/>
          <w:lang w:val="en-IE" w:eastAsia="fr-FR"/>
        </w:rPr>
        <w:footnoteReference w:id="100"/>
      </w:r>
      <w:r w:rsidRPr="003D13B0">
        <w:rPr>
          <w:noProof/>
          <w:szCs w:val="22"/>
          <w:lang w:val="en-IE" w:eastAsia="fr-FR"/>
        </w:rPr>
        <w:t>. The e-DAI platform managed by ANI continues to be used to streamline the process for filling in and submitting asset declarations in digital format, which are no longer published</w:t>
      </w:r>
      <w:r w:rsidRPr="003D13B0">
        <w:rPr>
          <w:noProof/>
          <w:szCs w:val="22"/>
          <w:vertAlign w:val="superscript"/>
          <w:lang w:val="en-IE" w:eastAsia="fr-FR"/>
        </w:rPr>
        <w:footnoteReference w:id="101"/>
      </w:r>
      <w:r w:rsidRPr="003D13B0">
        <w:rPr>
          <w:noProof/>
          <w:szCs w:val="22"/>
          <w:lang w:val="en-IE" w:eastAsia="fr-FR"/>
        </w:rPr>
        <w:t xml:space="preserve">. ANI submitted a broad legislative proposal on integrity to the Ministry of Justice in November 2025. The draft aims to clarify ambiguities, harmonise certain </w:t>
      </w:r>
      <w:r w:rsidRPr="003D13B0">
        <w:rPr>
          <w:rFonts w:eastAsiaTheme="minorHAnsi" w:cstheme="minorBidi"/>
          <w:noProof/>
          <w:szCs w:val="22"/>
          <w:lang w:val="en-IE" w:eastAsia="en-US"/>
        </w:rPr>
        <w:t xml:space="preserve">provisions and update the existing legal framework, in particular on asset declaration formats. </w:t>
      </w:r>
      <w:r w:rsidRPr="003D13B0">
        <w:rPr>
          <w:noProof/>
          <w:szCs w:val="22"/>
          <w:lang w:val="en-US" w:eastAsia="fr-FR"/>
        </w:rPr>
        <w:t>It currently does not regulate asset declarations by spouses and children, where the rules had been declared unconstitutional by the Constitutional Court in a decision reported upon last year</w:t>
      </w:r>
      <w:r w:rsidRPr="003D13B0">
        <w:rPr>
          <w:noProof/>
          <w:szCs w:val="22"/>
          <w:vertAlign w:val="superscript"/>
          <w:lang w:val="en-IE" w:eastAsia="fr-FR"/>
        </w:rPr>
        <w:footnoteReference w:id="102"/>
      </w:r>
      <w:r w:rsidRPr="003D13B0">
        <w:rPr>
          <w:noProof/>
          <w:szCs w:val="22"/>
          <w:lang w:val="en-IE" w:eastAsia="fr-FR"/>
        </w:rPr>
        <w:t>. The draft is currently under discussion and the Ministry of Justice intends to carry out further consultations</w:t>
      </w:r>
      <w:r w:rsidRPr="003D13B0">
        <w:rPr>
          <w:noProof/>
          <w:szCs w:val="22"/>
          <w:vertAlign w:val="superscript"/>
          <w:lang w:val="en-IE" w:eastAsia="fr-FR"/>
        </w:rPr>
        <w:footnoteReference w:id="103"/>
      </w:r>
      <w:r w:rsidRPr="003D13B0">
        <w:rPr>
          <w:noProof/>
          <w:szCs w:val="22"/>
          <w:lang w:val="en-IE" w:eastAsia="fr-FR"/>
        </w:rPr>
        <w:t>. In light of these developments, Romania has made some progress in ensuring the effectiveness of the asset declaration system.</w:t>
      </w:r>
    </w:p>
    <w:p w14:paraId="4C04FCB3" w14:textId="77777777" w:rsidR="003D13B0" w:rsidRPr="003D13B0" w:rsidRDefault="003D13B0" w:rsidP="003D13B0">
      <w:pPr>
        <w:rPr>
          <w:rFonts w:eastAsiaTheme="minorHAnsi" w:cstheme="minorBidi"/>
          <w:noProof/>
          <w:szCs w:val="22"/>
          <w:lang w:val="en-IE" w:eastAsia="ro-RO"/>
        </w:rPr>
      </w:pPr>
      <w:r w:rsidRPr="003D13B0">
        <w:rPr>
          <w:b/>
          <w:bCs/>
          <w:noProof/>
          <w:szCs w:val="22"/>
          <w:lang w:val="en-IE" w:eastAsia="fr-FR"/>
        </w:rPr>
        <w:t>Romania has fully implemented the recommendation to introduce new rules on lobbying for Members of Parliament</w:t>
      </w:r>
      <w:r w:rsidRPr="003D13B0">
        <w:rPr>
          <w:b/>
          <w:bCs/>
          <w:noProof/>
          <w:szCs w:val="22"/>
          <w:vertAlign w:val="superscript"/>
          <w:lang w:val="en-IE" w:eastAsia="fr-FR"/>
        </w:rPr>
        <w:footnoteReference w:id="104"/>
      </w:r>
      <w:r w:rsidRPr="003D13B0">
        <w:rPr>
          <w:b/>
          <w:bCs/>
          <w:noProof/>
          <w:szCs w:val="22"/>
          <w:lang w:val="en-IE" w:eastAsia="fr-FR"/>
        </w:rPr>
        <w:t>.</w:t>
      </w:r>
      <w:r w:rsidRPr="003D13B0">
        <w:rPr>
          <w:noProof/>
          <w:szCs w:val="22"/>
          <w:lang w:val="en-IE" w:eastAsia="fr-FR"/>
        </w:rPr>
        <w:t xml:space="preserve"> A new law of November 2025</w:t>
      </w:r>
      <w:r w:rsidRPr="003D13B0">
        <w:rPr>
          <w:noProof/>
          <w:szCs w:val="22"/>
          <w:vertAlign w:val="superscript"/>
          <w:lang w:val="en-IE" w:eastAsia="fr-FR"/>
        </w:rPr>
        <w:footnoteReference w:id="105"/>
      </w:r>
      <w:r w:rsidRPr="003D13B0">
        <w:rPr>
          <w:noProof/>
          <w:szCs w:val="22"/>
          <w:lang w:val="en-IE" w:eastAsia="fr-FR"/>
        </w:rPr>
        <w:t xml:space="preserve"> obliges deputies and senators to register meetings with third parties on a legislative initiative in the transparency register (RUTI), which is already used by members of government and high-level government officials. </w:t>
      </w:r>
      <w:r w:rsidRPr="003D13B0">
        <w:rPr>
          <w:rFonts w:eastAsiaTheme="minorHAnsi" w:cstheme="minorBidi"/>
          <w:noProof/>
          <w:szCs w:val="22"/>
          <w:lang w:val="en-IE" w:eastAsia="ro-RO"/>
        </w:rPr>
        <w:t>Members of Parliament may only hold meetings with third parties registered in RUTI. They must publish information on such meetings in advance or, in the case of unplanned meetings, within 48 hours after they take place, indicating the participants, the date and place, and the purpose of the meeting. RUTI is managed by the Secretaries General of the two Chambers, who publish an annual report on its operation. Failure to comply with the new obligations will result in a written warning issued to the deputy or senator</w:t>
      </w:r>
      <w:r w:rsidRPr="003D13B0">
        <w:rPr>
          <w:rFonts w:eastAsiaTheme="minorHAnsi" w:cstheme="minorBidi"/>
          <w:noProof/>
          <w:szCs w:val="22"/>
          <w:vertAlign w:val="superscript"/>
          <w:lang w:val="en-IE" w:eastAsia="ro-RO"/>
        </w:rPr>
        <w:footnoteReference w:id="106"/>
      </w:r>
      <w:r w:rsidRPr="003D13B0">
        <w:rPr>
          <w:rFonts w:eastAsiaTheme="minorHAnsi" w:cstheme="minorBidi"/>
          <w:noProof/>
          <w:szCs w:val="22"/>
          <w:lang w:val="en-IE" w:eastAsia="ro-RO"/>
        </w:rPr>
        <w:t>. Stakeholders have underlined the lack of basic functionalities of RUTI (search functions, filters), as well as its insufficient use by the government so far</w:t>
      </w:r>
      <w:r w:rsidRPr="003D13B0">
        <w:rPr>
          <w:rFonts w:eastAsiaTheme="minorHAnsi" w:cstheme="minorBidi"/>
          <w:noProof/>
          <w:szCs w:val="22"/>
          <w:vertAlign w:val="superscript"/>
          <w:lang w:val="en-IE" w:eastAsia="ro-RO"/>
        </w:rPr>
        <w:footnoteReference w:id="107"/>
      </w:r>
      <w:r w:rsidRPr="003D13B0">
        <w:rPr>
          <w:rFonts w:eastAsiaTheme="minorHAnsi" w:cstheme="minorBidi"/>
          <w:noProof/>
          <w:szCs w:val="22"/>
          <w:lang w:val="en-IE" w:eastAsia="ro-RO"/>
        </w:rPr>
        <w:t>. Despite certain limitations of RUTI, Romania has successfully introduced new rules on lobbying for the Members of Parliament and fully implemented the recommendation.</w:t>
      </w:r>
    </w:p>
    <w:p w14:paraId="765F2E99" w14:textId="68FE307C" w:rsidR="003D13B0" w:rsidRPr="003D13B0" w:rsidRDefault="003D13B0" w:rsidP="003D13B0">
      <w:pPr>
        <w:rPr>
          <w:noProof/>
          <w:szCs w:val="22"/>
          <w:lang w:val="en-IE" w:eastAsia="fr-FR"/>
        </w:rPr>
      </w:pPr>
      <w:r w:rsidRPr="003D13B0">
        <w:rPr>
          <w:b/>
          <w:bCs/>
          <w:noProof/>
          <w:szCs w:val="22"/>
          <w:lang w:val="en-IE" w:eastAsia="fr-FR"/>
        </w:rPr>
        <w:t xml:space="preserve">There have been no further developments to improve the transparency of political party financing as the legislation is still pending in Parliament. </w:t>
      </w:r>
      <w:r w:rsidRPr="003D13B0">
        <w:rPr>
          <w:noProof/>
          <w:szCs w:val="22"/>
          <w:lang w:val="en-IE" w:eastAsia="fr-FR"/>
        </w:rPr>
        <w:t>Draft legislation from the Permanent Electoral Authority (PEA) to improve the transparency of political party financing and the enforcement of related rules has been pending before the Chamber of Deputies since October 2023, with no set date for adoption</w:t>
      </w:r>
      <w:r w:rsidRPr="003D13B0">
        <w:rPr>
          <w:noProof/>
          <w:szCs w:val="22"/>
          <w:vertAlign w:val="superscript"/>
          <w:lang w:val="en-IE" w:eastAsia="fr-FR"/>
        </w:rPr>
        <w:footnoteReference w:id="108"/>
      </w:r>
      <w:r w:rsidRPr="003D13B0">
        <w:rPr>
          <w:noProof/>
          <w:szCs w:val="22"/>
          <w:lang w:val="en-IE" w:eastAsia="fr-FR"/>
        </w:rPr>
        <w:t>. The Court of Accounts had confirmed the need to better regulate the funding of political parties in Romania and recommended that the PEA initiates legislative amendments</w:t>
      </w:r>
      <w:r w:rsidRPr="003D13B0">
        <w:rPr>
          <w:noProof/>
          <w:szCs w:val="22"/>
          <w:vertAlign w:val="superscript"/>
          <w:lang w:val="en-IE" w:eastAsia="fr-FR"/>
        </w:rPr>
        <w:footnoteReference w:id="109"/>
      </w:r>
      <w:r w:rsidRPr="003D13B0">
        <w:rPr>
          <w:noProof/>
          <w:szCs w:val="22"/>
          <w:lang w:val="en-IE" w:eastAsia="fr-FR"/>
        </w:rPr>
        <w:t xml:space="preserve">. The PEA </w:t>
      </w:r>
      <w:r w:rsidRPr="003D13B0">
        <w:rPr>
          <w:rFonts w:eastAsiaTheme="minorHAnsi" w:cs="Arial"/>
          <w:noProof/>
          <w:szCs w:val="22"/>
          <w:lang w:val="en-IE" w:eastAsia="en-US"/>
        </w:rPr>
        <w:t>did not conduct the annual audit of political parties, which had already been postponed in 2024</w:t>
      </w:r>
      <w:r w:rsidRPr="003D13B0">
        <w:rPr>
          <w:rFonts w:eastAsiaTheme="minorHAnsi" w:cs="Arial"/>
          <w:noProof/>
          <w:szCs w:val="22"/>
          <w:vertAlign w:val="superscript"/>
          <w:lang w:val="en-IE" w:eastAsia="en-US"/>
        </w:rPr>
        <w:footnoteReference w:id="110"/>
      </w:r>
      <w:r w:rsidRPr="003D13B0">
        <w:rPr>
          <w:rFonts w:eastAsiaTheme="minorHAnsi" w:cs="Arial"/>
          <w:noProof/>
          <w:szCs w:val="22"/>
          <w:lang w:val="en-IE" w:eastAsia="en-US"/>
        </w:rPr>
        <w:t xml:space="preserve">. </w:t>
      </w:r>
      <w:r w:rsidRPr="003D13B0">
        <w:rPr>
          <w:noProof/>
          <w:szCs w:val="22"/>
          <w:lang w:val="en-IE" w:eastAsia="fr-FR"/>
        </w:rPr>
        <w:t>Concerns raised in previous Rule of Law reports remain,</w:t>
      </w:r>
      <w:r w:rsidRPr="003D13B0">
        <w:rPr>
          <w:rFonts w:eastAsiaTheme="minorHAnsi" w:cstheme="minorBidi"/>
          <w:noProof/>
          <w:szCs w:val="22"/>
          <w:lang w:val="en-US" w:eastAsia="en-US"/>
        </w:rPr>
        <w:t xml:space="preserve"> </w:t>
      </w:r>
      <w:r w:rsidRPr="003D13B0">
        <w:rPr>
          <w:noProof/>
          <w:szCs w:val="22"/>
          <w:lang w:val="en-IE" w:eastAsia="fr-FR"/>
        </w:rPr>
        <w:t>particularly as regards the lack of thorough auditing, investigation and enforcement of the rules and low penalties for non-compliance</w:t>
      </w:r>
      <w:r w:rsidRPr="003D13B0">
        <w:rPr>
          <w:noProof/>
          <w:szCs w:val="22"/>
          <w:vertAlign w:val="superscript"/>
          <w:lang w:val="en-IE" w:eastAsia="fr-FR"/>
        </w:rPr>
        <w:footnoteReference w:id="111"/>
      </w:r>
      <w:r w:rsidRPr="003D13B0">
        <w:rPr>
          <w:noProof/>
          <w:szCs w:val="22"/>
          <w:lang w:val="en-IE" w:eastAsia="fr-FR"/>
        </w:rPr>
        <w:t xml:space="preserve">. </w:t>
      </w:r>
      <w:r w:rsidRPr="003D13B0">
        <w:rPr>
          <w:rFonts w:eastAsiaTheme="minorHAnsi" w:cs="Arial"/>
          <w:noProof/>
          <w:szCs w:val="22"/>
          <w:lang w:val="en-IE" w:eastAsia="en-US"/>
        </w:rPr>
        <w:t>In February 2025, the Parliament dismissed the PEA President on integrity related grounds, and a new President was nominated in December. CSOs criticised the lack of transparency in the nomination process</w:t>
      </w:r>
      <w:r w:rsidRPr="003D13B0">
        <w:rPr>
          <w:rFonts w:eastAsiaTheme="minorHAnsi" w:cs="Arial"/>
          <w:noProof/>
          <w:szCs w:val="22"/>
          <w:vertAlign w:val="superscript"/>
          <w:lang w:val="en-IE" w:eastAsia="en-US"/>
        </w:rPr>
        <w:footnoteReference w:id="112"/>
      </w:r>
      <w:r w:rsidRPr="003D13B0">
        <w:rPr>
          <w:rFonts w:eastAsiaTheme="minorHAnsi" w:cs="Arial"/>
          <w:noProof/>
          <w:szCs w:val="22"/>
          <w:lang w:val="en-IE" w:eastAsia="en-US"/>
        </w:rPr>
        <w:t>.</w:t>
      </w:r>
    </w:p>
    <w:p w14:paraId="3C8BA00A" w14:textId="41B8BFA9" w:rsidR="003D13B0" w:rsidRPr="003D13B0" w:rsidRDefault="003D13B0" w:rsidP="003D13B0">
      <w:pPr>
        <w:rPr>
          <w:noProof/>
          <w:szCs w:val="22"/>
          <w:lang w:val="en-IE" w:eastAsia="fr-FR"/>
        </w:rPr>
      </w:pPr>
      <w:r w:rsidRPr="003D13B0">
        <w:rPr>
          <w:b/>
          <w:noProof/>
          <w:szCs w:val="22"/>
          <w:lang w:val="en-IE" w:eastAsia="fr-FR"/>
        </w:rPr>
        <w:t xml:space="preserve">ANI </w:t>
      </w:r>
      <w:r w:rsidRPr="003D13B0">
        <w:rPr>
          <w:b/>
          <w:noProof/>
          <w:szCs w:val="22"/>
          <w:lang w:val="en-US" w:eastAsia="fr-FR"/>
        </w:rPr>
        <w:t>performs the role of main external whistleblower channel</w:t>
      </w:r>
      <w:r w:rsidRPr="003D13B0">
        <w:rPr>
          <w:b/>
          <w:noProof/>
          <w:szCs w:val="22"/>
          <w:lang w:val="en-IE" w:eastAsia="fr-FR"/>
        </w:rPr>
        <w:t xml:space="preserve"> and is developing an IT system to receive and manage whistleblower reports, with the aim of increasing efficiency and the communication workflow. </w:t>
      </w:r>
      <w:r w:rsidRPr="003D13B0">
        <w:rPr>
          <w:noProof/>
          <w:szCs w:val="22"/>
          <w:lang w:val="en-IE" w:eastAsia="fr-FR"/>
        </w:rPr>
        <w:t xml:space="preserve">Training sessions were held for public and private entities </w:t>
      </w:r>
      <w:r w:rsidRPr="003D13B0">
        <w:rPr>
          <w:noProof/>
          <w:szCs w:val="22"/>
          <w:lang w:val="en-US" w:eastAsia="fr-FR"/>
        </w:rPr>
        <w:t>covering both internal and external reporting channels</w:t>
      </w:r>
      <w:r w:rsidRPr="003D13B0">
        <w:rPr>
          <w:noProof/>
          <w:szCs w:val="22"/>
          <w:lang w:val="en-IE" w:eastAsia="fr-FR"/>
        </w:rPr>
        <w:t>. The new IT system will be accessible to all entities which have an external reporting channel, and they will be able to manage reports using the platform</w:t>
      </w:r>
      <w:r w:rsidRPr="003D13B0">
        <w:rPr>
          <w:noProof/>
          <w:szCs w:val="22"/>
          <w:vertAlign w:val="superscript"/>
          <w:lang w:val="en-IE" w:eastAsia="fr-FR"/>
        </w:rPr>
        <w:footnoteReference w:id="113"/>
      </w:r>
      <w:r w:rsidRPr="003D13B0">
        <w:rPr>
          <w:noProof/>
          <w:szCs w:val="22"/>
          <w:lang w:val="en-IE" w:eastAsia="fr-FR"/>
        </w:rPr>
        <w:t>. ANI received 167 reports in 2025, managed by four inspectors</w:t>
      </w:r>
      <w:r w:rsidRPr="003D13B0">
        <w:rPr>
          <w:noProof/>
          <w:szCs w:val="22"/>
          <w:vertAlign w:val="superscript"/>
          <w:lang w:val="en-IE" w:eastAsia="fr-FR"/>
        </w:rPr>
        <w:footnoteReference w:id="114"/>
      </w:r>
      <w:r w:rsidRPr="003D13B0">
        <w:rPr>
          <w:noProof/>
          <w:szCs w:val="22"/>
          <w:lang w:val="en-IE" w:eastAsia="fr-FR"/>
        </w:rPr>
        <w:t>. No reports were on corruption. It also provided confidential and non-confidential counselling, upon request, to individuals and entities. The Agency monitored the implementation of the law, specifically regarding the establishment and operation of internal reporting channels by public and private entities</w:t>
      </w:r>
      <w:r w:rsidRPr="003D13B0">
        <w:rPr>
          <w:noProof/>
          <w:szCs w:val="22"/>
          <w:vertAlign w:val="superscript"/>
          <w:lang w:val="en-IE" w:eastAsia="fr-FR"/>
        </w:rPr>
        <w:footnoteReference w:id="115"/>
      </w:r>
      <w:r w:rsidRPr="003D13B0">
        <w:rPr>
          <w:noProof/>
          <w:szCs w:val="22"/>
          <w:lang w:val="en-IE" w:eastAsia="fr-FR"/>
        </w:rPr>
        <w:t>.</w:t>
      </w:r>
    </w:p>
    <w:p w14:paraId="53876E3B" w14:textId="77777777" w:rsidR="003D13B0" w:rsidRPr="003D13B0" w:rsidRDefault="003D13B0" w:rsidP="003D13B0">
      <w:pPr>
        <w:rPr>
          <w:noProof/>
          <w:szCs w:val="22"/>
          <w:lang w:val="en-IE" w:eastAsia="fr-FR"/>
        </w:rPr>
      </w:pPr>
      <w:r w:rsidRPr="003D13B0">
        <w:rPr>
          <w:b/>
          <w:bCs/>
          <w:noProof/>
          <w:szCs w:val="22"/>
          <w:lang w:val="en-IE" w:eastAsia="fr-FR"/>
        </w:rPr>
        <w:t>Public procurement remains a high-risk area with additional measures taken to address corruption risks, including the launch of</w:t>
      </w:r>
      <w:r w:rsidRPr="003D13B0">
        <w:rPr>
          <w:noProof/>
          <w:szCs w:val="22"/>
          <w:lang w:val="en-IE" w:eastAsia="fr-FR"/>
        </w:rPr>
        <w:t xml:space="preserve"> </w:t>
      </w:r>
      <w:r w:rsidRPr="003D13B0">
        <w:rPr>
          <w:b/>
          <w:bCs/>
          <w:noProof/>
          <w:szCs w:val="22"/>
          <w:lang w:val="en-IE" w:eastAsia="fr-FR"/>
        </w:rPr>
        <w:t>a new National Public Procurement Risk Map.</w:t>
      </w:r>
      <w:r w:rsidRPr="003D13B0">
        <w:rPr>
          <w:noProof/>
          <w:szCs w:val="22"/>
          <w:lang w:val="en-IE" w:eastAsia="fr-FR"/>
        </w:rPr>
        <w:t xml:space="preserve"> </w:t>
      </w:r>
      <w:r w:rsidRPr="003D13B0">
        <w:rPr>
          <w:rFonts w:eastAsia="Calibri"/>
          <w:noProof/>
          <w:szCs w:val="24"/>
          <w:lang w:val="en-IE" w:eastAsia="en-US"/>
        </w:rPr>
        <w:t>Businesses’ attitudes towards corruption in the EU show that 38% of companies in Romania (EU average 30%) think that corruption has prevented them from winning a public tender in practice in the last three years</w:t>
      </w:r>
      <w:r w:rsidRPr="003D13B0">
        <w:rPr>
          <w:rFonts w:eastAsia="Calibri"/>
          <w:noProof/>
          <w:szCs w:val="24"/>
          <w:vertAlign w:val="superscript"/>
          <w:lang w:val="en-IE" w:eastAsia="en-US"/>
        </w:rPr>
        <w:footnoteReference w:id="116"/>
      </w:r>
      <w:r w:rsidRPr="003D13B0">
        <w:rPr>
          <w:rFonts w:eastAsia="Calibri"/>
          <w:noProof/>
          <w:szCs w:val="24"/>
          <w:lang w:val="en-IE" w:eastAsia="en-US"/>
        </w:rPr>
        <w:t xml:space="preserve">. 57% </w:t>
      </w:r>
      <w:r w:rsidRPr="003D13B0">
        <w:rPr>
          <w:rFonts w:eastAsiaTheme="minorHAnsi"/>
          <w:noProof/>
          <w:szCs w:val="24"/>
          <w:lang w:val="en-US" w:eastAsia="en-US"/>
        </w:rPr>
        <w:t xml:space="preserve">of businesses perceive the level of independence of the </w:t>
      </w:r>
      <w:r w:rsidRPr="003D13B0">
        <w:rPr>
          <w:noProof/>
          <w:szCs w:val="22"/>
          <w:lang w:val="en-IE" w:eastAsia="fr-FR"/>
        </w:rPr>
        <w:t>the National Appeals Settlement Council</w:t>
      </w:r>
      <w:r w:rsidRPr="003D13B0">
        <w:rPr>
          <w:rFonts w:eastAsiaTheme="minorHAnsi"/>
          <w:noProof/>
          <w:szCs w:val="24"/>
          <w:lang w:val="en-US" w:eastAsia="en-US"/>
        </w:rPr>
        <w:t xml:space="preserve"> as very or fairly good when it is reviewing public procurement cases</w:t>
      </w:r>
      <w:r w:rsidRPr="003D13B0">
        <w:rPr>
          <w:rFonts w:eastAsiaTheme="minorHAnsi"/>
          <w:noProof/>
          <w:szCs w:val="24"/>
          <w:vertAlign w:val="superscript"/>
          <w:lang w:val="en-US" w:eastAsia="en-US"/>
        </w:rPr>
        <w:footnoteReference w:id="117"/>
      </w:r>
      <w:r w:rsidRPr="003D13B0">
        <w:rPr>
          <w:rFonts w:eastAsiaTheme="minorHAnsi"/>
          <w:noProof/>
          <w:szCs w:val="24"/>
          <w:lang w:val="en-US" w:eastAsia="en-US"/>
        </w:rPr>
        <w:t xml:space="preserve">. </w:t>
      </w:r>
      <w:r w:rsidRPr="003D13B0">
        <w:rPr>
          <w:noProof/>
          <w:szCs w:val="24"/>
          <w:lang w:val="en-IE" w:eastAsia="fr-FR"/>
        </w:rPr>
        <w:t>The Single Market and Competitiveness Scoreboard on access to public procurement in Romania reports 49% of single bids for 2025 (27% EU average).</w:t>
      </w:r>
      <w:r w:rsidRPr="003D13B0">
        <w:rPr>
          <w:noProof/>
          <w:szCs w:val="22"/>
          <w:lang w:val="en-IE" w:eastAsia="fr-FR"/>
        </w:rPr>
        <w:t xml:space="preserve"> The Court of Accounts reports that 80% of the </w:t>
      </w:r>
      <w:r w:rsidRPr="003D13B0">
        <w:rPr>
          <w:noProof/>
          <w:szCs w:val="22"/>
          <w:lang w:val="en-IE" w:eastAsia="en-US"/>
        </w:rPr>
        <w:t>public interest whistleblowing notifications registered in 2025 concerned suspicions of breaches of public procurement legislation</w:t>
      </w:r>
      <w:r w:rsidRPr="003D13B0">
        <w:rPr>
          <w:noProof/>
          <w:szCs w:val="22"/>
          <w:vertAlign w:val="superscript"/>
          <w:lang w:val="en-IE" w:eastAsia="en-US"/>
        </w:rPr>
        <w:footnoteReference w:id="118"/>
      </w:r>
      <w:r w:rsidRPr="003D13B0">
        <w:rPr>
          <w:noProof/>
          <w:szCs w:val="22"/>
          <w:lang w:val="en-IE" w:eastAsia="en-US"/>
        </w:rPr>
        <w:t xml:space="preserve">. </w:t>
      </w:r>
      <w:r w:rsidRPr="003D13B0">
        <w:rPr>
          <w:noProof/>
          <w:szCs w:val="22"/>
          <w:lang w:val="en-IE" w:eastAsia="fr-FR"/>
        </w:rPr>
        <w:t xml:space="preserve">A National Public Procurement Risk Map launched in 2025 by the Ministry of Justice and the National Agency for Public Procurement (ANAP), with OECD support, </w:t>
      </w:r>
      <w:r w:rsidRPr="003D13B0">
        <w:rPr>
          <w:noProof/>
          <w:szCs w:val="22"/>
          <w:lang w:val="en-US" w:eastAsia="fr-FR"/>
        </w:rPr>
        <w:t>was published on the website of ANAP</w:t>
      </w:r>
      <w:r w:rsidRPr="003D13B0">
        <w:rPr>
          <w:noProof/>
          <w:szCs w:val="22"/>
          <w:lang w:val="en-IE" w:eastAsia="fr-FR"/>
        </w:rPr>
        <w:t>. It identifies corruption-vulnerable functions, high-risk sectors and critical stages of public procurement procedures and serves as a reference for policymakers, contracting authorities and oversight bodies</w:t>
      </w:r>
      <w:r w:rsidRPr="003D13B0">
        <w:rPr>
          <w:noProof/>
          <w:szCs w:val="22"/>
          <w:vertAlign w:val="superscript"/>
          <w:lang w:val="en-IE" w:eastAsia="fr-FR"/>
        </w:rPr>
        <w:footnoteReference w:id="119"/>
      </w:r>
      <w:r w:rsidRPr="003D13B0">
        <w:rPr>
          <w:noProof/>
          <w:szCs w:val="22"/>
          <w:lang w:val="en-IE" w:eastAsia="fr-FR"/>
        </w:rPr>
        <w:t xml:space="preserve">. </w:t>
      </w:r>
      <w:r w:rsidRPr="003D13B0">
        <w:rPr>
          <w:noProof/>
          <w:szCs w:val="22"/>
          <w:lang w:val="en-IE" w:eastAsia="en-US"/>
        </w:rPr>
        <w:t>ANI continues to analyse public procurement procedures using the PREVENT system</w:t>
      </w:r>
      <w:r w:rsidRPr="003D13B0">
        <w:rPr>
          <w:noProof/>
          <w:szCs w:val="22"/>
          <w:vertAlign w:val="superscript"/>
          <w:lang w:val="en-IE" w:eastAsia="en-US"/>
        </w:rPr>
        <w:footnoteReference w:id="120"/>
      </w:r>
      <w:r w:rsidRPr="003D13B0">
        <w:rPr>
          <w:noProof/>
          <w:szCs w:val="22"/>
          <w:lang w:val="en-IE" w:eastAsia="en-US"/>
        </w:rPr>
        <w:t xml:space="preserve"> to identify ex ante conflicts of interest. It issued 15 integrity warnings in 2025</w:t>
      </w:r>
      <w:r w:rsidRPr="003D13B0">
        <w:rPr>
          <w:noProof/>
          <w:szCs w:val="22"/>
          <w:vertAlign w:val="superscript"/>
          <w:lang w:val="en-IE" w:eastAsia="en-US"/>
        </w:rPr>
        <w:footnoteReference w:id="121"/>
      </w:r>
      <w:r w:rsidRPr="003D13B0">
        <w:rPr>
          <w:noProof/>
          <w:szCs w:val="22"/>
          <w:lang w:val="en-IE" w:eastAsia="en-US"/>
        </w:rPr>
        <w:t>. Other highlighted high-risk areas include regulatory oversight and certification and human resources management</w:t>
      </w:r>
      <w:r w:rsidRPr="003D13B0">
        <w:rPr>
          <w:noProof/>
          <w:szCs w:val="22"/>
          <w:vertAlign w:val="superscript"/>
          <w:lang w:val="en-IE" w:eastAsia="en-US"/>
        </w:rPr>
        <w:footnoteReference w:id="122"/>
      </w:r>
      <w:r w:rsidRPr="003D13B0">
        <w:rPr>
          <w:noProof/>
          <w:szCs w:val="22"/>
          <w:lang w:val="en-IE" w:eastAsia="en-US"/>
        </w:rPr>
        <w:t>.</w:t>
      </w:r>
    </w:p>
    <w:p w14:paraId="0D9CBC08" w14:textId="679D88D0" w:rsidR="003D13B0" w:rsidRPr="0044369A" w:rsidRDefault="003D13B0" w:rsidP="00B662FA">
      <w:pPr>
        <w:pStyle w:val="ListParagraph"/>
        <w:keepNext/>
        <w:numPr>
          <w:ilvl w:val="0"/>
          <w:numId w:val="32"/>
        </w:numPr>
        <w:outlineLvl w:val="0"/>
        <w:rPr>
          <w:b/>
          <w:smallCaps/>
          <w:noProof/>
          <w:szCs w:val="24"/>
          <w:u w:val="single"/>
          <w:lang w:val="en-IE" w:eastAsia="fr-FR"/>
        </w:rPr>
      </w:pPr>
      <w:r w:rsidRPr="0044369A">
        <w:rPr>
          <w:b/>
          <w:smallCaps/>
          <w:noProof/>
          <w:szCs w:val="24"/>
          <w:u w:val="single"/>
          <w:lang w:val="en-IE" w:eastAsia="fr-FR"/>
        </w:rPr>
        <w:t>Media Pluralism and Media Freedom</w:t>
      </w:r>
    </w:p>
    <w:p w14:paraId="50E63647" w14:textId="77777777" w:rsidR="003D13B0" w:rsidRPr="003D13B0" w:rsidRDefault="003D13B0" w:rsidP="003D13B0">
      <w:pPr>
        <w:rPr>
          <w:rFonts w:eastAsiaTheme="minorHAnsi"/>
          <w:noProof/>
          <w:szCs w:val="22"/>
          <w:lang w:val="en-IE" w:eastAsia="en-US"/>
        </w:rPr>
      </w:pPr>
      <w:r w:rsidRPr="003D13B0">
        <w:rPr>
          <w:rFonts w:eastAsia="Aptos"/>
          <w:b/>
          <w:bCs/>
          <w:noProof/>
          <w:szCs w:val="22"/>
          <w:lang w:val="en-IE" w:eastAsia="en-US"/>
        </w:rPr>
        <w:t xml:space="preserve">The National Audiovisual Council (CNA) has fewer human resources than reported last year, with digitalisation efforts progressing slowly. </w:t>
      </w:r>
      <w:r w:rsidRPr="003D13B0">
        <w:rPr>
          <w:rFonts w:eastAsia="Aptos"/>
          <w:noProof/>
          <w:szCs w:val="22"/>
          <w:lang w:val="en-IE" w:eastAsia="en-US"/>
        </w:rPr>
        <w:t>According to the 2025 Rule of Law report, the CNA carried out its activities with 118 members of staff on average</w:t>
      </w:r>
      <w:r w:rsidRPr="003D13B0">
        <w:rPr>
          <w:rFonts w:eastAsia="Aptos"/>
          <w:noProof/>
          <w:szCs w:val="22"/>
          <w:vertAlign w:val="superscript"/>
          <w:lang w:val="en-IE" w:eastAsia="en-US"/>
        </w:rPr>
        <w:footnoteReference w:id="123"/>
      </w:r>
      <w:r w:rsidRPr="003D13B0">
        <w:rPr>
          <w:rFonts w:eastAsia="Aptos"/>
          <w:noProof/>
          <w:szCs w:val="22"/>
          <w:lang w:val="en-IE" w:eastAsia="en-US"/>
        </w:rPr>
        <w:t>. This year, the media regulator reported 116 members of staff out of the 153 approved positions, alongside increased tasks with regards to overseeing the digitalisation project</w:t>
      </w:r>
      <w:r w:rsidRPr="003D13B0">
        <w:rPr>
          <w:rFonts w:eastAsia="Aptos"/>
          <w:noProof/>
          <w:szCs w:val="22"/>
          <w:vertAlign w:val="superscript"/>
          <w:lang w:val="en-IE" w:eastAsia="en-US"/>
        </w:rPr>
        <w:footnoteReference w:id="124"/>
      </w:r>
      <w:r w:rsidRPr="003D13B0">
        <w:rPr>
          <w:rFonts w:eastAsia="Aptos"/>
          <w:noProof/>
          <w:szCs w:val="22"/>
          <w:lang w:val="en-IE" w:eastAsia="en-US"/>
        </w:rPr>
        <w:t>. The Government reportedly considered a possible merger between CNA and ANCOM, the national communications and postal services regulator, as part of austerity policies taken in 2025, which were strongly opposed by stakeholders</w:t>
      </w:r>
      <w:r w:rsidRPr="003D13B0">
        <w:rPr>
          <w:rFonts w:eastAsia="Aptos"/>
          <w:noProof/>
          <w:szCs w:val="22"/>
          <w:vertAlign w:val="superscript"/>
          <w:lang w:val="en-IE" w:eastAsia="en-US"/>
        </w:rPr>
        <w:footnoteReference w:id="125"/>
      </w:r>
      <w:r w:rsidRPr="003D13B0">
        <w:rPr>
          <w:rFonts w:eastAsia="Aptos"/>
          <w:noProof/>
          <w:szCs w:val="22"/>
          <w:lang w:val="en-IE" w:eastAsia="en-US"/>
        </w:rPr>
        <w:t xml:space="preserve"> due to a possible risk of undermining CNA’s role. As part of the changes introduced by the Government, the CNA’s 2025 budget was initially increased compared to 2024, only to be later adjusted in October 2025 with a EUR 250 000 cut</w:t>
      </w:r>
      <w:r w:rsidRPr="003D13B0">
        <w:rPr>
          <w:rFonts w:eastAsia="Aptos"/>
          <w:noProof/>
          <w:szCs w:val="22"/>
          <w:vertAlign w:val="superscript"/>
          <w:lang w:val="en-IE" w:eastAsia="en-US"/>
        </w:rPr>
        <w:footnoteReference w:id="126"/>
      </w:r>
      <w:r w:rsidRPr="003D13B0">
        <w:rPr>
          <w:rFonts w:eastAsia="Aptos"/>
          <w:noProof/>
          <w:szCs w:val="22"/>
          <w:lang w:val="en-IE" w:eastAsia="en-US"/>
        </w:rPr>
        <w:t>. Digitalisation efforts commenced in 2025 through a EUR 20 million EU funded project, but this is reported to be challenging and progressing slowly, with no clear timeline for finalisation</w:t>
      </w:r>
      <w:r w:rsidRPr="003D13B0">
        <w:rPr>
          <w:rFonts w:eastAsia="Aptos"/>
          <w:noProof/>
          <w:szCs w:val="22"/>
          <w:vertAlign w:val="superscript"/>
          <w:lang w:val="en-IE" w:eastAsia="en-US"/>
        </w:rPr>
        <w:footnoteReference w:id="127"/>
      </w:r>
      <w:r w:rsidRPr="003D13B0">
        <w:rPr>
          <w:rFonts w:eastAsia="Aptos"/>
          <w:noProof/>
          <w:szCs w:val="22"/>
          <w:lang w:val="en-IE" w:eastAsia="en-US"/>
        </w:rPr>
        <w:t>. The CNA considers the current sanctions and penalties system in the context of orders for the removal of audiovisual content to have a positive impact overall</w:t>
      </w:r>
      <w:r w:rsidRPr="003D13B0">
        <w:rPr>
          <w:rFonts w:eastAsia="Aptos"/>
          <w:noProof/>
          <w:szCs w:val="22"/>
          <w:vertAlign w:val="superscript"/>
          <w:lang w:val="en-IE" w:eastAsia="en-US"/>
        </w:rPr>
        <w:footnoteReference w:id="128"/>
      </w:r>
      <w:r w:rsidRPr="003D13B0">
        <w:rPr>
          <w:rFonts w:eastAsia="Aptos"/>
          <w:noProof/>
          <w:szCs w:val="22"/>
          <w:lang w:val="en-IE" w:eastAsia="en-US"/>
        </w:rPr>
        <w:t>, but stakeholders have criticised the Council for frequently failing to fulfil its mandate of defending the public interest. However, they noted that in 2025 the media regulator showed more determination in sanctioning television and radio broadcasters for serious violations of the audiovisual legislation</w:t>
      </w:r>
      <w:r w:rsidRPr="003D13B0">
        <w:rPr>
          <w:rFonts w:eastAsia="Aptos"/>
          <w:noProof/>
          <w:szCs w:val="22"/>
          <w:vertAlign w:val="superscript"/>
          <w:lang w:val="en-IE" w:eastAsia="en-US"/>
        </w:rPr>
        <w:footnoteReference w:id="129"/>
      </w:r>
      <w:r w:rsidRPr="003D13B0">
        <w:rPr>
          <w:rFonts w:eastAsia="Aptos"/>
          <w:noProof/>
          <w:szCs w:val="22"/>
          <w:lang w:val="en-IE" w:eastAsia="en-US"/>
        </w:rPr>
        <w:t>. A new Regulatory Code of Audiovisual Content was adopted on 25 June 2025</w:t>
      </w:r>
      <w:r w:rsidRPr="003D13B0">
        <w:rPr>
          <w:rFonts w:eastAsia="Aptos"/>
          <w:noProof/>
          <w:szCs w:val="22"/>
          <w:vertAlign w:val="superscript"/>
          <w:lang w:val="en-IE" w:eastAsia="en-US"/>
        </w:rPr>
        <w:footnoteReference w:id="130"/>
      </w:r>
      <w:r w:rsidRPr="003D13B0">
        <w:rPr>
          <w:rFonts w:eastAsia="Aptos"/>
          <w:noProof/>
          <w:szCs w:val="22"/>
          <w:lang w:val="en-IE" w:eastAsia="en-US"/>
        </w:rPr>
        <w:t xml:space="preserve">. </w:t>
      </w:r>
      <w:r w:rsidRPr="003D13B0">
        <w:rPr>
          <w:rFonts w:eastAsia="Aptos"/>
          <w:noProof/>
          <w:szCs w:val="22"/>
          <w:lang w:val="en-US" w:eastAsia="en-US"/>
        </w:rPr>
        <w:t>The 2026 Media Pluralism Monitor (MPM) reports a medium-low risk (37%) for the independence and effectiveness of the media authorities, remaining stable since last year.</w:t>
      </w:r>
    </w:p>
    <w:p w14:paraId="2ABD248D" w14:textId="70C2E2AE" w:rsidR="003D13B0" w:rsidRPr="003D13B0" w:rsidRDefault="003D13B0" w:rsidP="003D13B0">
      <w:pPr>
        <w:rPr>
          <w:rFonts w:eastAsiaTheme="minorHAnsi"/>
          <w:noProof/>
          <w:szCs w:val="22"/>
          <w:lang w:val="en-IE" w:eastAsia="en-US"/>
        </w:rPr>
      </w:pPr>
      <w:r w:rsidRPr="003D13B0">
        <w:rPr>
          <w:rFonts w:eastAsia="Aptos"/>
          <w:b/>
          <w:bCs/>
          <w:noProof/>
          <w:szCs w:val="22"/>
          <w:lang w:val="en-IE" w:eastAsia="en-US"/>
        </w:rPr>
        <w:t xml:space="preserve">Self-regulation has still not been completely agreed by media actors, though some elements have been established. </w:t>
      </w:r>
      <w:r w:rsidRPr="003D13B0">
        <w:rPr>
          <w:rFonts w:eastAsia="Aptos"/>
          <w:noProof/>
          <w:szCs w:val="22"/>
          <w:lang w:val="en-IE" w:eastAsia="en-US"/>
        </w:rPr>
        <w:t>Whilst various initiatives to introduce ethics codes have so far failed to gather enough support among professional journalists</w:t>
      </w:r>
      <w:r w:rsidRPr="003D13B0">
        <w:rPr>
          <w:rFonts w:eastAsia="Aptos"/>
          <w:noProof/>
          <w:szCs w:val="22"/>
          <w:vertAlign w:val="superscript"/>
          <w:lang w:val="en-IE" w:eastAsia="en-US"/>
        </w:rPr>
        <w:footnoteReference w:id="131"/>
      </w:r>
      <w:r w:rsidRPr="003D13B0">
        <w:rPr>
          <w:rFonts w:eastAsia="Aptos"/>
          <w:noProof/>
          <w:szCs w:val="22"/>
          <w:lang w:val="en-IE" w:eastAsia="en-US"/>
        </w:rPr>
        <w:t>, an alliance consisting of over 20 members, to be officially launched later this year, is currently working on a code of ethics for journalists</w:t>
      </w:r>
      <w:r w:rsidRPr="003D13B0">
        <w:rPr>
          <w:rFonts w:eastAsia="Aptos"/>
          <w:noProof/>
          <w:szCs w:val="22"/>
          <w:vertAlign w:val="superscript"/>
          <w:lang w:val="en-IE" w:eastAsia="en-US"/>
        </w:rPr>
        <w:footnoteReference w:id="132"/>
      </w:r>
      <w:r w:rsidRPr="003D13B0">
        <w:rPr>
          <w:rFonts w:eastAsia="Aptos"/>
          <w:noProof/>
          <w:szCs w:val="22"/>
          <w:lang w:val="en-IE" w:eastAsia="en-US"/>
        </w:rPr>
        <w:t xml:space="preserve">. </w:t>
      </w:r>
      <w:r w:rsidRPr="003D13B0">
        <w:rPr>
          <w:noProof/>
          <w:szCs w:val="24"/>
          <w:lang w:val="en-IE" w:eastAsia="en-US"/>
        </w:rPr>
        <w:t xml:space="preserve">A form of self-regulation was also reported between the CNA and the Romanian Advertising Council who coordinate on advertising issues. </w:t>
      </w:r>
      <w:r w:rsidRPr="003D13B0">
        <w:rPr>
          <w:rFonts w:eastAsia="Aptos"/>
          <w:noProof/>
          <w:szCs w:val="22"/>
          <w:lang w:val="en-IE" w:eastAsia="en-US"/>
        </w:rPr>
        <w:t>The CNA flags problematic advertising to the Advertising Council who analyses them based on their codes of conduct</w:t>
      </w:r>
      <w:r w:rsidRPr="003D13B0">
        <w:rPr>
          <w:rFonts w:eastAsia="Aptos"/>
          <w:noProof/>
          <w:szCs w:val="22"/>
          <w:vertAlign w:val="superscript"/>
          <w:lang w:val="en-IE" w:eastAsia="en-US"/>
        </w:rPr>
        <w:footnoteReference w:id="133"/>
      </w:r>
      <w:r w:rsidRPr="003D13B0">
        <w:rPr>
          <w:rFonts w:eastAsiaTheme="minorHAnsi" w:cstheme="minorBidi"/>
          <w:noProof/>
          <w:szCs w:val="22"/>
          <w:lang w:val="en-IE" w:eastAsia="en-US"/>
        </w:rPr>
        <w:t>.</w:t>
      </w:r>
      <w:r w:rsidRPr="003D13B0">
        <w:rPr>
          <w:rFonts w:eastAsia="Aptos"/>
          <w:noProof/>
          <w:szCs w:val="22"/>
          <w:lang w:val="en-IE" w:eastAsia="en-US"/>
        </w:rPr>
        <w:t xml:space="preserve"> The Council’s assessment is then used in CNA discussions.</w:t>
      </w:r>
    </w:p>
    <w:p w14:paraId="352FF822" w14:textId="59F42411" w:rsidR="003D13B0" w:rsidRPr="003D13B0" w:rsidRDefault="003D13B0" w:rsidP="003D13B0">
      <w:pPr>
        <w:rPr>
          <w:rFonts w:eastAsia="Aptos"/>
          <w:noProof/>
          <w:lang w:val="en-IE" w:eastAsia="en-US"/>
        </w:rPr>
      </w:pPr>
      <w:r w:rsidRPr="1FF750F2">
        <w:rPr>
          <w:rFonts w:eastAsia="Aptos"/>
          <w:b/>
          <w:noProof/>
          <w:lang w:val="en-IE" w:eastAsia="en-US"/>
        </w:rPr>
        <w:t>Initial steps have been taken on the reform to enhance the independent governance and editorial independence of public service media</w:t>
      </w:r>
      <w:r w:rsidRPr="1FF750F2">
        <w:rPr>
          <w:rFonts w:eastAsia="Aptos"/>
          <w:b/>
          <w:noProof/>
          <w:vertAlign w:val="superscript"/>
          <w:lang w:val="en-IE" w:eastAsia="en-US"/>
        </w:rPr>
        <w:footnoteReference w:id="134"/>
      </w:r>
      <w:r w:rsidRPr="1FF750F2">
        <w:rPr>
          <w:rFonts w:eastAsia="Aptos"/>
          <w:b/>
          <w:noProof/>
          <w:lang w:val="en-IE" w:eastAsia="en-US"/>
        </w:rPr>
        <w:t xml:space="preserve">. </w:t>
      </w:r>
      <w:r w:rsidRPr="1FF750F2">
        <w:rPr>
          <w:rFonts w:eastAsia="Aptos"/>
          <w:noProof/>
          <w:lang w:val="en-IE" w:eastAsia="en-US"/>
        </w:rPr>
        <w:t>The Government has set up an interinstitutional working group to compare legal assessments, carry out technical consultations and a comprehensive evaluation of the current legislative framework with the aim of improving the independent governance of public service media and aligning with EMFA, but a draft has yet to be issued. A new Director-General of the national TV broadcaster TVR was appointed. TVR is currently changing its main news programme, which attracted positive reactions from stakeholders who consider that it better serves the public interest</w:t>
      </w:r>
      <w:r w:rsidRPr="1FF750F2">
        <w:rPr>
          <w:rFonts w:eastAsia="Aptos"/>
          <w:noProof/>
          <w:vertAlign w:val="superscript"/>
          <w:lang w:val="en-IE" w:eastAsia="en-US"/>
        </w:rPr>
        <w:footnoteReference w:id="135"/>
      </w:r>
      <w:r w:rsidRPr="1FF750F2">
        <w:rPr>
          <w:rFonts w:eastAsia="Aptos"/>
          <w:noProof/>
          <w:lang w:val="en-IE" w:eastAsia="en-US"/>
        </w:rPr>
        <w:t>. Journalist associations criticised the appointment of the Government’s Spokesperson to the management board of the Romanian national radio broadcaster</w:t>
      </w:r>
      <w:r w:rsidRPr="1FF750F2">
        <w:rPr>
          <w:rFonts w:eastAsia="Aptos"/>
          <w:noProof/>
          <w:vertAlign w:val="superscript"/>
          <w:lang w:val="en-IE" w:eastAsia="en-US"/>
        </w:rPr>
        <w:footnoteReference w:id="136"/>
      </w:r>
      <w:r w:rsidRPr="1FF750F2">
        <w:rPr>
          <w:rFonts w:eastAsia="Aptos"/>
          <w:noProof/>
          <w:lang w:val="en-IE" w:eastAsia="en-US"/>
        </w:rPr>
        <w:t>. There has therefore been limited progress on improving the framework for the independent governance and editorial independence of public service media.</w:t>
      </w:r>
    </w:p>
    <w:p w14:paraId="0C4F1210" w14:textId="1D6838EA" w:rsidR="003D13B0" w:rsidRPr="00E74611" w:rsidRDefault="003D13B0" w:rsidP="003D13B0">
      <w:pPr>
        <w:rPr>
          <w:rFonts w:eastAsia="Aptos"/>
          <w:noProof/>
          <w:szCs w:val="22"/>
          <w:lang w:val="en-IE" w:eastAsia="en-US"/>
        </w:rPr>
      </w:pPr>
      <w:r w:rsidRPr="003D13B0">
        <w:rPr>
          <w:rFonts w:eastAsia="Aptos"/>
          <w:b/>
          <w:bCs/>
          <w:noProof/>
          <w:szCs w:val="22"/>
          <w:lang w:val="en-IE" w:eastAsia="en-US"/>
        </w:rPr>
        <w:t>There are no developments on the transparency of media ownership</w:t>
      </w:r>
      <w:r w:rsidRPr="003D13B0">
        <w:rPr>
          <w:rFonts w:eastAsia="Aptos"/>
          <w:noProof/>
          <w:szCs w:val="22"/>
          <w:lang w:val="en-IE" w:eastAsia="en-US"/>
        </w:rPr>
        <w:t>. Access to most ownership information is still only available through the National Commercial Registry database, which requires the payment of a fee and is not readily searchable. The interinstitutional group set up by the Government to identify legislative requirements to ensure further transparency has not yet delivered results</w:t>
      </w:r>
      <w:r w:rsidRPr="003D13B0">
        <w:rPr>
          <w:rFonts w:eastAsia="Aptos"/>
          <w:noProof/>
          <w:szCs w:val="22"/>
          <w:vertAlign w:val="superscript"/>
          <w:lang w:val="en-IE" w:eastAsia="en-US"/>
        </w:rPr>
        <w:footnoteReference w:id="137"/>
      </w:r>
      <w:r w:rsidRPr="003D13B0">
        <w:rPr>
          <w:rFonts w:eastAsia="Aptos"/>
          <w:noProof/>
          <w:szCs w:val="22"/>
          <w:lang w:val="en-IE" w:eastAsia="en-US"/>
        </w:rPr>
        <w:t xml:space="preserve">. </w:t>
      </w:r>
      <w:r w:rsidR="007F4A8B" w:rsidRPr="007F4A8B">
        <w:rPr>
          <w:rFonts w:eastAsia="Aptos"/>
          <w:noProof/>
          <w:szCs w:val="22"/>
          <w:lang w:val="en-IE" w:eastAsia="en-US"/>
        </w:rPr>
        <w:t xml:space="preserve">The CNA </w:t>
      </w:r>
      <w:r w:rsidR="007F4A8B">
        <w:rPr>
          <w:rFonts w:eastAsia="Aptos"/>
          <w:noProof/>
          <w:szCs w:val="22"/>
          <w:lang w:val="en-IE" w:eastAsia="en-US"/>
        </w:rPr>
        <w:t xml:space="preserve">continues to </w:t>
      </w:r>
      <w:r w:rsidR="007F4A8B" w:rsidRPr="007F4A8B">
        <w:rPr>
          <w:rFonts w:eastAsia="Aptos"/>
          <w:noProof/>
          <w:szCs w:val="22"/>
          <w:lang w:val="en-IE" w:eastAsia="en-US"/>
        </w:rPr>
        <w:t>publish information on the shareholding structure of companies holding audiovisual</w:t>
      </w:r>
      <w:r w:rsidR="007F4A8B">
        <w:rPr>
          <w:rFonts w:eastAsia="Aptos"/>
          <w:noProof/>
          <w:szCs w:val="22"/>
          <w:lang w:val="en-IE" w:eastAsia="en-US"/>
        </w:rPr>
        <w:t xml:space="preserve"> </w:t>
      </w:r>
      <w:r w:rsidR="007F4A8B" w:rsidRPr="007F4A8B">
        <w:rPr>
          <w:rFonts w:eastAsia="Aptos"/>
          <w:noProof/>
          <w:szCs w:val="22"/>
          <w:lang w:val="en-IE" w:eastAsia="en-US"/>
        </w:rPr>
        <w:t>licenses</w:t>
      </w:r>
      <w:r w:rsidR="00EB21F4">
        <w:rPr>
          <w:rStyle w:val="FootnoteReference"/>
          <w:rFonts w:eastAsia="Aptos"/>
          <w:noProof/>
          <w:szCs w:val="22"/>
          <w:lang w:val="en-IE" w:eastAsia="en-US"/>
        </w:rPr>
        <w:footnoteReference w:id="138"/>
      </w:r>
      <w:r w:rsidR="007F4A8B" w:rsidRPr="007F4A8B">
        <w:rPr>
          <w:rFonts w:eastAsia="Aptos"/>
          <w:noProof/>
          <w:szCs w:val="22"/>
          <w:lang w:val="en-IE" w:eastAsia="en-US"/>
        </w:rPr>
        <w:t>.</w:t>
      </w:r>
      <w:r w:rsidR="007B660F">
        <w:rPr>
          <w:rFonts w:eastAsia="Aptos"/>
          <w:noProof/>
          <w:szCs w:val="22"/>
          <w:lang w:val="en-IE" w:eastAsia="en-US"/>
        </w:rPr>
        <w:t xml:space="preserve"> </w:t>
      </w:r>
      <w:r w:rsidRPr="003D13B0">
        <w:rPr>
          <w:rFonts w:eastAsia="Aptos"/>
          <w:noProof/>
          <w:szCs w:val="22"/>
          <w:lang w:val="en-IE" w:eastAsia="en-US"/>
        </w:rPr>
        <w:t>Stakeholders raised concerns about the lack of legal requirements for assessing media market concentrations that could have a significant impact on media pluralism and editorial independence, particularly as the largest media groups in the country hold dominant positions across TV, radio and online</w:t>
      </w:r>
      <w:r w:rsidRPr="003D13B0">
        <w:rPr>
          <w:rFonts w:eastAsia="Aptos"/>
          <w:noProof/>
          <w:szCs w:val="22"/>
          <w:vertAlign w:val="superscript"/>
          <w:lang w:val="en-IE" w:eastAsia="en-US"/>
        </w:rPr>
        <w:footnoteReference w:id="139"/>
      </w:r>
      <w:r w:rsidRPr="003D13B0">
        <w:rPr>
          <w:rFonts w:eastAsia="Aptos"/>
          <w:noProof/>
          <w:szCs w:val="22"/>
          <w:lang w:val="en-IE" w:eastAsia="en-US"/>
        </w:rPr>
        <w:t>. Stakeholders highlighted as most concerning in terms of ownership concentration, a trend towards the convergence and merger of media outlets and large telecommunications companies</w:t>
      </w:r>
      <w:r w:rsidRPr="003D13B0">
        <w:rPr>
          <w:rFonts w:eastAsia="Aptos"/>
          <w:noProof/>
          <w:szCs w:val="22"/>
          <w:vertAlign w:val="superscript"/>
          <w:lang w:val="en-IE" w:eastAsia="en-US"/>
        </w:rPr>
        <w:footnoteReference w:id="140"/>
      </w:r>
      <w:r w:rsidRPr="003D13B0">
        <w:rPr>
          <w:rFonts w:eastAsia="Aptos"/>
          <w:noProof/>
          <w:szCs w:val="22"/>
          <w:lang w:val="en-IE" w:eastAsia="en-US"/>
        </w:rPr>
        <w:t xml:space="preserve">. </w:t>
      </w:r>
      <w:r w:rsidRPr="003D13B0">
        <w:rPr>
          <w:rFonts w:eastAsia="Aptos"/>
          <w:noProof/>
          <w:szCs w:val="22"/>
          <w:lang w:val="en-US" w:eastAsia="en-US"/>
        </w:rPr>
        <w:t xml:space="preserve">According to the Media Pluralism Monitor, transparency of media ownership </w:t>
      </w:r>
      <w:r w:rsidR="008321E7">
        <w:rPr>
          <w:rFonts w:eastAsia="Aptos"/>
          <w:noProof/>
          <w:szCs w:val="22"/>
          <w:lang w:val="en-US" w:eastAsia="en-US"/>
        </w:rPr>
        <w:t xml:space="preserve">is now ranked </w:t>
      </w:r>
      <w:r w:rsidRPr="003D13B0">
        <w:rPr>
          <w:rFonts w:eastAsia="Aptos"/>
          <w:noProof/>
          <w:szCs w:val="22"/>
          <w:lang w:val="en-US" w:eastAsia="en-US"/>
        </w:rPr>
        <w:t xml:space="preserve">at </w:t>
      </w:r>
      <w:r w:rsidR="008321E7">
        <w:rPr>
          <w:rFonts w:eastAsia="Aptos"/>
          <w:noProof/>
          <w:szCs w:val="22"/>
          <w:lang w:val="en-US" w:eastAsia="en-US"/>
        </w:rPr>
        <w:t xml:space="preserve">very </w:t>
      </w:r>
      <w:r w:rsidRPr="003D13B0">
        <w:rPr>
          <w:rFonts w:eastAsia="Aptos"/>
          <w:noProof/>
          <w:szCs w:val="22"/>
          <w:lang w:val="en-US" w:eastAsia="en-US"/>
        </w:rPr>
        <w:t>high risk (85%)</w:t>
      </w:r>
      <w:r w:rsidR="003E4603">
        <w:rPr>
          <w:rStyle w:val="FootnoteReference"/>
          <w:rFonts w:eastAsia="Aptos"/>
          <w:noProof/>
          <w:szCs w:val="22"/>
          <w:lang w:val="en-US" w:eastAsia="en-US"/>
        </w:rPr>
        <w:footnoteReference w:id="141"/>
      </w:r>
      <w:r w:rsidRPr="003D13B0">
        <w:rPr>
          <w:rFonts w:eastAsia="Aptos"/>
          <w:noProof/>
          <w:szCs w:val="22"/>
          <w:lang w:val="en-US" w:eastAsia="en-US"/>
        </w:rPr>
        <w:t>.</w:t>
      </w:r>
    </w:p>
    <w:p w14:paraId="50749DE5" w14:textId="77777777" w:rsidR="003D13B0" w:rsidRPr="003D13B0" w:rsidRDefault="003D13B0" w:rsidP="003D13B0">
      <w:pPr>
        <w:rPr>
          <w:rFonts w:eastAsia="Aptos"/>
          <w:noProof/>
          <w:szCs w:val="22"/>
          <w:lang w:val="en-IE" w:eastAsia="en-US"/>
        </w:rPr>
      </w:pPr>
      <w:bookmarkStart w:id="5" w:name="_Hlk231545128"/>
      <w:r w:rsidRPr="003D13B0">
        <w:rPr>
          <w:b/>
          <w:bCs/>
          <w:noProof/>
          <w:szCs w:val="22"/>
          <w:lang w:val="en-IE" w:eastAsia="en-GB"/>
        </w:rPr>
        <w:t>The new Audiovisual Code legislates the situation with regards to the financing of private media by political parties and state authorities, but c</w:t>
      </w:r>
      <w:r w:rsidRPr="003D13B0">
        <w:rPr>
          <w:rFonts w:eastAsia="Aptos"/>
          <w:b/>
          <w:bCs/>
          <w:noProof/>
          <w:szCs w:val="22"/>
          <w:lang w:val="en-IE" w:eastAsia="en-US"/>
        </w:rPr>
        <w:t xml:space="preserve">ertain related practices remain an issue. </w:t>
      </w:r>
      <w:bookmarkEnd w:id="5"/>
      <w:r w:rsidRPr="003D13B0">
        <w:rPr>
          <w:rFonts w:eastAsia="Aptos"/>
          <w:noProof/>
          <w:szCs w:val="22"/>
          <w:lang w:val="en-IE" w:eastAsia="en-US"/>
        </w:rPr>
        <w:t>Political parties reportedly spent half of their total public subsidies on media and publicity (over EUR 22.2 million) in 2025</w:t>
      </w:r>
      <w:r w:rsidRPr="003D13B0">
        <w:rPr>
          <w:rFonts w:eastAsia="Aptos"/>
          <w:noProof/>
          <w:szCs w:val="22"/>
          <w:vertAlign w:val="superscript"/>
          <w:lang w:val="en-IE" w:eastAsia="en-US"/>
        </w:rPr>
        <w:footnoteReference w:id="142"/>
      </w:r>
      <w:r w:rsidRPr="003D13B0">
        <w:rPr>
          <w:rFonts w:eastAsia="Aptos"/>
          <w:noProof/>
          <w:szCs w:val="22"/>
          <w:lang w:val="en-IE" w:eastAsia="en-US"/>
        </w:rPr>
        <w:t>, a slight decrease from the amount reported last year</w:t>
      </w:r>
      <w:r w:rsidRPr="003D13B0">
        <w:rPr>
          <w:rFonts w:eastAsia="Aptos"/>
          <w:noProof/>
          <w:szCs w:val="22"/>
          <w:vertAlign w:val="superscript"/>
          <w:lang w:val="en-IE" w:eastAsia="en-US"/>
        </w:rPr>
        <w:footnoteReference w:id="143"/>
      </w:r>
      <w:r w:rsidRPr="003D13B0">
        <w:rPr>
          <w:rFonts w:eastAsia="Aptos"/>
          <w:noProof/>
          <w:szCs w:val="22"/>
          <w:lang w:val="en-IE" w:eastAsia="en-US"/>
        </w:rPr>
        <w:t>. The practice of media presenting statements by politicians as journalistic content and not as paid-for advertisement continues</w:t>
      </w:r>
      <w:r w:rsidRPr="003D13B0">
        <w:rPr>
          <w:rFonts w:eastAsiaTheme="minorHAnsi" w:cstheme="minorBidi"/>
          <w:noProof/>
          <w:szCs w:val="22"/>
          <w:lang w:val="en-US" w:eastAsia="en-US"/>
        </w:rPr>
        <w:t xml:space="preserve"> in the form of </w:t>
      </w:r>
      <w:r w:rsidRPr="003D13B0">
        <w:rPr>
          <w:rFonts w:eastAsia="Aptos"/>
          <w:noProof/>
          <w:szCs w:val="22"/>
          <w:lang w:val="en-IE" w:eastAsia="en-US"/>
        </w:rPr>
        <w:t>paid-for interviews and debates conducted by journalists in programmes with an editorial appearance</w:t>
      </w:r>
      <w:r w:rsidRPr="003D13B0">
        <w:rPr>
          <w:rFonts w:eastAsia="Aptos"/>
          <w:noProof/>
          <w:szCs w:val="22"/>
          <w:vertAlign w:val="superscript"/>
          <w:lang w:val="en-IE" w:eastAsia="en-US"/>
        </w:rPr>
        <w:footnoteReference w:id="144"/>
      </w:r>
      <w:r w:rsidRPr="003D13B0">
        <w:rPr>
          <w:rFonts w:eastAsia="Aptos"/>
          <w:noProof/>
          <w:szCs w:val="22"/>
          <w:lang w:val="en-IE" w:eastAsia="en-US"/>
        </w:rPr>
        <w:t xml:space="preserve">. </w:t>
      </w:r>
      <w:r w:rsidRPr="003D13B0">
        <w:rPr>
          <w:rFonts w:eastAsiaTheme="minorHAnsi" w:cstheme="minorBidi"/>
          <w:noProof/>
          <w:szCs w:val="22"/>
          <w:lang w:val="en-US" w:eastAsia="en-US"/>
        </w:rPr>
        <w:t>However, t</w:t>
      </w:r>
      <w:r w:rsidRPr="003D13B0">
        <w:rPr>
          <w:rFonts w:eastAsia="Aptos"/>
          <w:noProof/>
          <w:szCs w:val="22"/>
          <w:lang w:val="en-IE" w:eastAsia="en-US"/>
        </w:rPr>
        <w:t>he new Regulatory Code of Audiovisual Content, adopted last year by CNA, that prohibits the sponsoring of news and political affairs programmes, has reportedly helped reduce the practice on the main television channels and led to a better marking of this type of content than in the past</w:t>
      </w:r>
      <w:r w:rsidRPr="003D13B0">
        <w:rPr>
          <w:rFonts w:eastAsia="Aptos"/>
          <w:noProof/>
          <w:szCs w:val="22"/>
          <w:vertAlign w:val="superscript"/>
          <w:lang w:val="en-IE" w:eastAsia="en-US"/>
        </w:rPr>
        <w:footnoteReference w:id="145"/>
      </w:r>
      <w:r w:rsidRPr="003D13B0">
        <w:rPr>
          <w:rFonts w:eastAsia="Aptos"/>
          <w:noProof/>
          <w:szCs w:val="22"/>
          <w:lang w:val="en-IE" w:eastAsia="en-US"/>
        </w:rPr>
        <w:t>. Issues with state advertising remain, with public authorities awarding funds to media outlets without a tender and no general oversight on allocations, according to stakeholders</w:t>
      </w:r>
      <w:r w:rsidRPr="003D13B0">
        <w:rPr>
          <w:rFonts w:eastAsia="Aptos"/>
          <w:noProof/>
          <w:szCs w:val="22"/>
          <w:vertAlign w:val="superscript"/>
          <w:lang w:val="en-IE" w:eastAsia="en-US"/>
        </w:rPr>
        <w:footnoteReference w:id="146"/>
      </w:r>
      <w:r w:rsidRPr="003D13B0">
        <w:rPr>
          <w:rFonts w:eastAsia="Aptos"/>
          <w:noProof/>
          <w:szCs w:val="22"/>
          <w:lang w:val="en-IE" w:eastAsia="en-US"/>
        </w:rPr>
        <w:t xml:space="preserve">. </w:t>
      </w:r>
    </w:p>
    <w:p w14:paraId="24DA28DE" w14:textId="77777777" w:rsidR="003D13B0" w:rsidRPr="003D13B0" w:rsidRDefault="003D13B0" w:rsidP="003D13B0">
      <w:pPr>
        <w:rPr>
          <w:rFonts w:eastAsia="Aptos"/>
          <w:b/>
          <w:bCs/>
          <w:noProof/>
          <w:szCs w:val="24"/>
          <w:highlight w:val="yellow"/>
          <w:lang w:val="en-IE" w:eastAsia="en-US"/>
        </w:rPr>
      </w:pPr>
      <w:r w:rsidRPr="003D13B0">
        <w:rPr>
          <w:rFonts w:eastAsia="Aptos"/>
          <w:b/>
          <w:bCs/>
          <w:noProof/>
          <w:szCs w:val="22"/>
          <w:lang w:val="en-IE" w:eastAsia="en-US"/>
        </w:rPr>
        <w:t>Issues on access to information remain, and the draft of a new Code of Administrative Procedures is still pending.</w:t>
      </w:r>
      <w:r w:rsidRPr="003D13B0">
        <w:rPr>
          <w:rFonts w:eastAsia="Aptos"/>
          <w:noProof/>
          <w:szCs w:val="22"/>
          <w:lang w:val="en-IE" w:eastAsia="en-US"/>
        </w:rPr>
        <w:t xml:space="preserve"> The Government reported no progress on this file. Journalists</w:t>
      </w:r>
      <w:r w:rsidRPr="003D13B0">
        <w:rPr>
          <w:rFonts w:eastAsia="Aptos"/>
          <w:b/>
          <w:bCs/>
          <w:noProof/>
          <w:szCs w:val="22"/>
          <w:lang w:val="en-IE" w:eastAsia="en-US"/>
        </w:rPr>
        <w:t xml:space="preserve"> </w:t>
      </w:r>
      <w:r w:rsidRPr="003D13B0">
        <w:rPr>
          <w:rFonts w:eastAsia="Calibri" w:cs="Arial"/>
          <w:noProof/>
          <w:szCs w:val="22"/>
          <w:lang w:val="en-IE" w:eastAsia="en-GB"/>
        </w:rPr>
        <w:t>and CSOs continue to express concerns about plans to include civil society in the Code’s scope, subjecting them to the same obligations as public authorities in terms of access to information. CSOs indicated that the right to information was not always respected by public authorities</w:t>
      </w:r>
      <w:r w:rsidRPr="003D13B0">
        <w:rPr>
          <w:rFonts w:eastAsia="Calibri" w:cs="Arial"/>
          <w:noProof/>
          <w:szCs w:val="22"/>
          <w:vertAlign w:val="superscript"/>
          <w:lang w:val="en-IE" w:eastAsia="en-GB"/>
        </w:rPr>
        <w:footnoteReference w:id="147"/>
      </w:r>
      <w:r w:rsidRPr="003D13B0">
        <w:rPr>
          <w:rFonts w:eastAsia="Calibri" w:cs="Arial"/>
          <w:noProof/>
          <w:szCs w:val="22"/>
          <w:lang w:val="en-IE" w:eastAsia="en-GB"/>
        </w:rPr>
        <w:t>. Judicial review of negative replies is described as involving lengthy procedures, which is felt to discourage challenging these decisions. Remedies were also described as being limited to modest fines rather than reversal of the refusal to provide information. Exceptions for ‘classified’ or ‘commercial secret’ information were considered by journalists and CSOs to be overused</w:t>
      </w:r>
      <w:r w:rsidRPr="003D13B0">
        <w:rPr>
          <w:rFonts w:eastAsia="Calibri" w:cs="Arial"/>
          <w:noProof/>
          <w:szCs w:val="22"/>
          <w:vertAlign w:val="superscript"/>
          <w:lang w:val="en-IE" w:eastAsia="en-GB"/>
        </w:rPr>
        <w:footnoteReference w:id="148"/>
      </w:r>
      <w:r w:rsidRPr="003D13B0" w:rsidDel="004C4ECA">
        <w:rPr>
          <w:rFonts w:eastAsia="Calibri" w:cs="Arial"/>
          <w:noProof/>
          <w:szCs w:val="22"/>
          <w:lang w:val="en-IE" w:eastAsia="en-GB"/>
        </w:rPr>
        <w:t>.</w:t>
      </w:r>
    </w:p>
    <w:p w14:paraId="605E9BD9" w14:textId="090072CD" w:rsidR="003D13B0" w:rsidRPr="003D13B0" w:rsidRDefault="003D13B0" w:rsidP="66C0A495">
      <w:pPr>
        <w:spacing w:after="160"/>
        <w:rPr>
          <w:rFonts w:eastAsia="Aptos"/>
          <w:noProof/>
          <w:lang w:val="en-IE" w:eastAsia="en-US"/>
        </w:rPr>
      </w:pPr>
      <w:r w:rsidRPr="66C0A495">
        <w:rPr>
          <w:rFonts w:eastAsia="Aptos"/>
          <w:b/>
          <w:bCs/>
          <w:noProof/>
          <w:lang w:val="en-IE" w:eastAsia="en-US"/>
        </w:rPr>
        <w:t>An anti-SLAPP law is in preparation as threats and instances of harassment of journalists continue.</w:t>
      </w:r>
      <w:r w:rsidRPr="66C0A495">
        <w:rPr>
          <w:rFonts w:eastAsia="Aptos"/>
          <w:noProof/>
          <w:lang w:val="en-IE" w:eastAsia="en-US"/>
        </w:rPr>
        <w:t xml:space="preserve"> Since the publication of the 2025 Rule of Law Report, </w:t>
      </w:r>
      <w:r w:rsidR="049FC5B4" w:rsidRPr="70F68CEA">
        <w:rPr>
          <w:rFonts w:eastAsia="Aptos"/>
          <w:noProof/>
          <w:lang w:val="en-IE" w:eastAsia="en-US"/>
        </w:rPr>
        <w:t>three</w:t>
      </w:r>
      <w:r w:rsidRPr="66C0A495">
        <w:rPr>
          <w:rFonts w:eastAsia="Aptos"/>
          <w:noProof/>
          <w:lang w:val="en-IE" w:eastAsia="en-US"/>
        </w:rPr>
        <w:t xml:space="preserve"> new alerts have been issued on the Safety of Journalists Platform of the Council of Europe</w:t>
      </w:r>
      <w:r w:rsidR="009B7903" w:rsidRPr="70F68CEA">
        <w:rPr>
          <w:rFonts w:eastAsia="Aptos"/>
          <w:noProof/>
          <w:lang w:val="en-IE" w:eastAsia="en-US"/>
        </w:rPr>
        <w:t xml:space="preserve">. </w:t>
      </w:r>
      <w:r w:rsidR="00287504">
        <w:rPr>
          <w:rFonts w:eastAsia="Aptos"/>
          <w:noProof/>
          <w:lang w:val="en-IE" w:eastAsia="en-US"/>
        </w:rPr>
        <w:t>The first</w:t>
      </w:r>
      <w:r w:rsidRPr="66C0A495">
        <w:rPr>
          <w:rFonts w:eastAsia="Aptos"/>
          <w:noProof/>
          <w:lang w:val="en-IE" w:eastAsia="en-US"/>
        </w:rPr>
        <w:t xml:space="preserve"> signal</w:t>
      </w:r>
      <w:r w:rsidR="009B7903" w:rsidRPr="70F68CEA">
        <w:rPr>
          <w:rFonts w:eastAsia="Aptos"/>
          <w:noProof/>
          <w:lang w:val="en-IE" w:eastAsia="en-US"/>
        </w:rPr>
        <w:t>s</w:t>
      </w:r>
      <w:r w:rsidRPr="66C0A495">
        <w:rPr>
          <w:rFonts w:eastAsia="Aptos"/>
          <w:noProof/>
          <w:lang w:val="en-IE" w:eastAsia="en-US"/>
        </w:rPr>
        <w:t xml:space="preserve"> a smear campaign</w:t>
      </w:r>
      <w:r w:rsidRPr="70F68CEA">
        <w:rPr>
          <w:rFonts w:eastAsia="Aptos"/>
          <w:noProof/>
          <w:lang w:val="en-IE" w:eastAsia="en-US"/>
        </w:rPr>
        <w:t xml:space="preserve"> and </w:t>
      </w:r>
      <w:r w:rsidRPr="66C0A495">
        <w:rPr>
          <w:rFonts w:eastAsia="Aptos"/>
          <w:noProof/>
          <w:lang w:val="en-IE" w:eastAsia="en-US"/>
        </w:rPr>
        <w:t>death threats</w:t>
      </w:r>
      <w:r w:rsidRPr="66C0A495">
        <w:rPr>
          <w:rFonts w:eastAsia="Aptos"/>
          <w:noProof/>
          <w:vertAlign w:val="superscript"/>
          <w:lang w:val="en-IE" w:eastAsia="en-US"/>
        </w:rPr>
        <w:footnoteReference w:id="149"/>
      </w:r>
      <w:r w:rsidR="00B056FA" w:rsidRPr="70F68CEA">
        <w:rPr>
          <w:rFonts w:eastAsia="Aptos"/>
          <w:noProof/>
          <w:lang w:val="en-IE" w:eastAsia="en-US"/>
        </w:rPr>
        <w:t xml:space="preserve">, </w:t>
      </w:r>
      <w:r w:rsidR="00F86B33">
        <w:rPr>
          <w:rFonts w:eastAsia="Aptos"/>
          <w:noProof/>
          <w:lang w:val="en-IE" w:eastAsia="en-US"/>
        </w:rPr>
        <w:t>the second</w:t>
      </w:r>
      <w:r w:rsidR="00B056FA" w:rsidRPr="70F68CEA">
        <w:rPr>
          <w:rFonts w:eastAsia="Aptos"/>
          <w:noProof/>
          <w:lang w:val="en-IE" w:eastAsia="en-US"/>
        </w:rPr>
        <w:t xml:space="preserve"> point</w:t>
      </w:r>
      <w:r w:rsidR="00A468C2">
        <w:rPr>
          <w:rFonts w:eastAsia="Aptos"/>
          <w:noProof/>
          <w:lang w:val="en-IE" w:eastAsia="en-US"/>
        </w:rPr>
        <w:t>s</w:t>
      </w:r>
      <w:r w:rsidR="00B056FA" w:rsidRPr="70F68CEA">
        <w:rPr>
          <w:rFonts w:eastAsia="Aptos"/>
          <w:noProof/>
          <w:lang w:val="en-IE" w:eastAsia="en-US"/>
        </w:rPr>
        <w:t xml:space="preserve"> at</w:t>
      </w:r>
      <w:r w:rsidRPr="66C0A495">
        <w:rPr>
          <w:rFonts w:eastAsia="Aptos"/>
          <w:noProof/>
          <w:lang w:val="en-IE" w:eastAsia="en-US"/>
        </w:rPr>
        <w:t xml:space="preserve"> defamation lawsuits</w:t>
      </w:r>
      <w:r w:rsidRPr="66C0A495">
        <w:rPr>
          <w:rFonts w:eastAsia="Aptos"/>
          <w:noProof/>
          <w:vertAlign w:val="superscript"/>
          <w:lang w:val="en-IE" w:eastAsia="en-US"/>
        </w:rPr>
        <w:footnoteReference w:id="150"/>
      </w:r>
      <w:r w:rsidR="005D3812">
        <w:rPr>
          <w:rFonts w:eastAsia="Aptos"/>
          <w:noProof/>
          <w:lang w:val="en-IE" w:eastAsia="en-US"/>
        </w:rPr>
        <w:t xml:space="preserve"> </w:t>
      </w:r>
      <w:r w:rsidR="00287504">
        <w:rPr>
          <w:rFonts w:eastAsia="Aptos"/>
          <w:noProof/>
          <w:lang w:val="en-IE" w:eastAsia="en-US"/>
        </w:rPr>
        <w:t>and the third</w:t>
      </w:r>
      <w:r w:rsidR="00EE0359">
        <w:rPr>
          <w:rFonts w:eastAsia="Aptos"/>
          <w:noProof/>
          <w:lang w:val="en-IE" w:eastAsia="en-US"/>
        </w:rPr>
        <w:t xml:space="preserve"> </w:t>
      </w:r>
      <w:r w:rsidR="00943EEF">
        <w:rPr>
          <w:rFonts w:eastAsia="Aptos"/>
          <w:noProof/>
          <w:lang w:val="en-IE" w:eastAsia="en-US"/>
        </w:rPr>
        <w:t xml:space="preserve">raises </w:t>
      </w:r>
      <w:r w:rsidR="00572203">
        <w:rPr>
          <w:rFonts w:eastAsia="Aptos"/>
          <w:noProof/>
          <w:lang w:val="en-IE" w:eastAsia="en-US"/>
        </w:rPr>
        <w:t xml:space="preserve">awareness </w:t>
      </w:r>
      <w:r w:rsidR="00F86B33">
        <w:rPr>
          <w:rFonts w:eastAsia="Aptos"/>
          <w:noProof/>
          <w:lang w:val="en-IE" w:eastAsia="en-US"/>
        </w:rPr>
        <w:t>about</w:t>
      </w:r>
      <w:r w:rsidR="00572203">
        <w:rPr>
          <w:rFonts w:eastAsia="Aptos"/>
          <w:noProof/>
          <w:lang w:val="en-IE" w:eastAsia="en-US"/>
        </w:rPr>
        <w:t xml:space="preserve"> a draft law </w:t>
      </w:r>
      <w:r w:rsidR="00DF607F">
        <w:rPr>
          <w:rFonts w:eastAsia="Aptos"/>
          <w:noProof/>
          <w:lang w:val="en-IE" w:eastAsia="en-US"/>
        </w:rPr>
        <w:t xml:space="preserve">requiring NGOs, including media, to publish donor </w:t>
      </w:r>
      <w:r w:rsidR="00AB7C1E">
        <w:rPr>
          <w:rFonts w:eastAsia="Aptos"/>
          <w:noProof/>
          <w:lang w:val="en-IE" w:eastAsia="en-US"/>
        </w:rPr>
        <w:t>identities</w:t>
      </w:r>
      <w:r w:rsidR="00CF729E">
        <w:rPr>
          <w:rStyle w:val="FootnoteReference"/>
          <w:rFonts w:eastAsia="Aptos"/>
          <w:noProof/>
          <w:lang w:val="en-IE" w:eastAsia="en-US"/>
        </w:rPr>
        <w:footnoteReference w:id="151"/>
      </w:r>
      <w:r w:rsidR="00C46463">
        <w:rPr>
          <w:rFonts w:eastAsia="Aptos"/>
          <w:noProof/>
          <w:lang w:val="en-IE" w:eastAsia="en-US"/>
        </w:rPr>
        <w:t>.</w:t>
      </w:r>
      <w:r w:rsidR="00FA31C3">
        <w:rPr>
          <w:rFonts w:eastAsia="Aptos"/>
          <w:noProof/>
          <w:lang w:val="en-IE" w:eastAsia="en-US"/>
        </w:rPr>
        <w:t xml:space="preserve"> </w:t>
      </w:r>
      <w:r w:rsidR="00500945">
        <w:rPr>
          <w:rFonts w:eastAsia="Aptos"/>
          <w:noProof/>
          <w:lang w:val="en-IE" w:eastAsia="en-US"/>
        </w:rPr>
        <w:t>There are currently four active Strategic lawsuits against public participation (SLAPP) cases involving journalists</w:t>
      </w:r>
      <w:r w:rsidRPr="06236621">
        <w:rPr>
          <w:rFonts w:eastAsia="Aptos"/>
          <w:noProof/>
          <w:vertAlign w:val="superscript"/>
          <w:lang w:val="en-IE" w:eastAsia="en-US"/>
        </w:rPr>
        <w:footnoteReference w:id="152"/>
      </w:r>
      <w:r w:rsidRPr="66C0A495">
        <w:rPr>
          <w:rFonts w:eastAsia="Aptos"/>
          <w:noProof/>
          <w:lang w:val="en-IE" w:eastAsia="en-US"/>
        </w:rPr>
        <w:t xml:space="preserve">, of which two date back to 2022. </w:t>
      </w:r>
      <w:r w:rsidR="00326E2B">
        <w:rPr>
          <w:rFonts w:eastAsia="Aptos"/>
          <w:noProof/>
          <w:lang w:val="en-IE" w:eastAsia="en-US"/>
        </w:rPr>
        <w:t xml:space="preserve">Claiming disproportionate compensation for moral or material damage allegedly resulting from defamation is the main mechanism by which a civil </w:t>
      </w:r>
      <w:r w:rsidR="0044717F">
        <w:rPr>
          <w:rFonts w:eastAsia="Aptos"/>
          <w:noProof/>
          <w:lang w:val="en-IE" w:eastAsia="en-US"/>
        </w:rPr>
        <w:t>dispute</w:t>
      </w:r>
      <w:r w:rsidR="00326E2B">
        <w:rPr>
          <w:rFonts w:eastAsia="Aptos"/>
          <w:noProof/>
          <w:lang w:val="en-IE" w:eastAsia="en-US"/>
        </w:rPr>
        <w:t xml:space="preserve"> </w:t>
      </w:r>
      <w:r w:rsidR="0044717F">
        <w:rPr>
          <w:rFonts w:eastAsia="Aptos"/>
          <w:noProof/>
          <w:lang w:val="en-IE" w:eastAsia="en-US"/>
        </w:rPr>
        <w:t>becomes</w:t>
      </w:r>
      <w:r w:rsidR="00326E2B">
        <w:rPr>
          <w:rFonts w:eastAsia="Aptos"/>
          <w:noProof/>
          <w:lang w:val="en-IE" w:eastAsia="en-US"/>
        </w:rPr>
        <w:t xml:space="preserve"> a SLAPP-type action</w:t>
      </w:r>
      <w:r w:rsidRPr="06236621">
        <w:rPr>
          <w:rFonts w:eastAsiaTheme="minorEastAsia" w:cstheme="minorBidi"/>
          <w:noProof/>
          <w:vertAlign w:val="superscript"/>
          <w:lang w:val="en-IE" w:eastAsia="en-US"/>
        </w:rPr>
        <w:footnoteReference w:id="153"/>
      </w:r>
      <w:r w:rsidRPr="70F68CEA">
        <w:rPr>
          <w:rFonts w:eastAsiaTheme="minorEastAsia" w:cstheme="minorBidi"/>
          <w:noProof/>
          <w:lang w:val="en-IE" w:eastAsia="en-US"/>
        </w:rPr>
        <w:t>.</w:t>
      </w:r>
      <w:r w:rsidR="0021370D">
        <w:rPr>
          <w:rFonts w:eastAsiaTheme="minorEastAsia" w:cstheme="minorBidi"/>
          <w:noProof/>
          <w:lang w:val="en-IE" w:eastAsia="en-US"/>
        </w:rPr>
        <w:t xml:space="preserve"> </w:t>
      </w:r>
      <w:r w:rsidR="0044717F">
        <w:rPr>
          <w:rFonts w:eastAsiaTheme="minorEastAsia" w:cstheme="minorBidi"/>
          <w:noProof/>
          <w:lang w:val="en-IE" w:eastAsia="en-US"/>
        </w:rPr>
        <w:t xml:space="preserve">Journalists reported that they are not always fully </w:t>
      </w:r>
      <w:r w:rsidR="00215DA7">
        <w:rPr>
          <w:rFonts w:eastAsiaTheme="minorEastAsia" w:cstheme="minorBidi"/>
          <w:noProof/>
          <w:lang w:val="en-IE" w:eastAsia="en-US"/>
        </w:rPr>
        <w:t>supported by their employers when faced with a court case for their publications, which can deepen their vulnerability to SLAPPs</w:t>
      </w:r>
      <w:r w:rsidRPr="06236621">
        <w:rPr>
          <w:rFonts w:eastAsia="Aptos"/>
          <w:noProof/>
          <w:vertAlign w:val="superscript"/>
          <w:lang w:val="en-IE" w:eastAsia="en-US"/>
        </w:rPr>
        <w:footnoteReference w:id="154"/>
      </w:r>
      <w:r w:rsidR="00830AA6">
        <w:rPr>
          <w:rFonts w:eastAsiaTheme="minorEastAsia" w:cstheme="minorBidi"/>
          <w:noProof/>
          <w:lang w:val="en-IE" w:eastAsia="en-US"/>
        </w:rPr>
        <w:t>.</w:t>
      </w:r>
      <w:r w:rsidR="00215DA7">
        <w:rPr>
          <w:noProof/>
          <w:lang w:val="en-IE" w:eastAsia="en-US"/>
        </w:rPr>
        <w:t xml:space="preserve"> </w:t>
      </w:r>
      <w:r w:rsidR="00780D9E">
        <w:rPr>
          <w:noProof/>
          <w:lang w:val="en-IE" w:eastAsia="en-US"/>
        </w:rPr>
        <w:t xml:space="preserve">Law enforcement has faced criticism from stakeholders </w:t>
      </w:r>
      <w:r w:rsidR="00D626AC">
        <w:rPr>
          <w:noProof/>
          <w:lang w:val="en-IE" w:eastAsia="en-US"/>
        </w:rPr>
        <w:t>for slow action in prosecuting longstanding cases of harassment against journalists</w:t>
      </w:r>
      <w:r w:rsidRPr="06236621">
        <w:rPr>
          <w:rFonts w:eastAsia="Aptos"/>
          <w:noProof/>
          <w:vertAlign w:val="superscript"/>
          <w:lang w:val="en-IE" w:eastAsia="en-US"/>
        </w:rPr>
        <w:footnoteReference w:id="155"/>
      </w:r>
      <w:r w:rsidRPr="66C0A495">
        <w:rPr>
          <w:rFonts w:eastAsia="Aptos"/>
          <w:noProof/>
          <w:lang w:val="en-IE" w:eastAsia="en-US"/>
        </w:rPr>
        <w:t>.</w:t>
      </w:r>
      <w:r w:rsidRPr="66C0A495">
        <w:rPr>
          <w:rFonts w:eastAsia="Aptos"/>
          <w:noProof/>
          <w:vertAlign w:val="superscript"/>
          <w:lang w:val="en-IE" w:eastAsia="en-US"/>
        </w:rPr>
        <w:t xml:space="preserve"> </w:t>
      </w:r>
      <w:r w:rsidRPr="66C0A495">
        <w:rPr>
          <w:rFonts w:eastAsia="Aptos"/>
          <w:noProof/>
          <w:lang w:val="en-IE" w:eastAsia="en-US"/>
        </w:rPr>
        <w:t>Representatives of the profession fear that this situation disincentivises in particular local</w:t>
      </w:r>
      <w:r w:rsidR="00B67248">
        <w:rPr>
          <w:rFonts w:eastAsia="Aptos"/>
          <w:noProof/>
          <w:lang w:val="en-IE" w:eastAsia="en-US"/>
        </w:rPr>
        <w:t xml:space="preserve"> media who have fewer resources at their disposal to seek justice</w:t>
      </w:r>
      <w:r w:rsidR="00405A8C">
        <w:rPr>
          <w:rFonts w:eastAsia="Aptos"/>
          <w:noProof/>
          <w:lang w:val="en-IE" w:eastAsia="en-US"/>
        </w:rPr>
        <w:t xml:space="preserve">. Moreover, concerns about the impact on the mental health of journalists have also been </w:t>
      </w:r>
      <w:r w:rsidR="00605172">
        <w:rPr>
          <w:rFonts w:eastAsia="Aptos"/>
          <w:noProof/>
          <w:lang w:val="en-IE" w:eastAsia="en-US"/>
        </w:rPr>
        <w:t>raised</w:t>
      </w:r>
      <w:r w:rsidRPr="06236621">
        <w:rPr>
          <w:rFonts w:eastAsia="Aptos"/>
          <w:noProof/>
          <w:vertAlign w:val="superscript"/>
          <w:lang w:val="en-IE" w:eastAsia="en-US"/>
        </w:rPr>
        <w:footnoteReference w:id="156"/>
      </w:r>
      <w:r w:rsidR="007304BB">
        <w:rPr>
          <w:rFonts w:eastAsia="Aptos"/>
          <w:noProof/>
          <w:lang w:val="en-IE" w:eastAsia="en-US"/>
        </w:rPr>
        <w:t>.</w:t>
      </w:r>
      <w:r w:rsidR="00FC0571">
        <w:rPr>
          <w:rFonts w:eastAsia="Aptos"/>
          <w:noProof/>
          <w:lang w:val="en-IE" w:eastAsia="en-US"/>
        </w:rPr>
        <w:t xml:space="preserve"> </w:t>
      </w:r>
      <w:r w:rsidR="00E33D56">
        <w:rPr>
          <w:noProof/>
          <w:lang w:val="en-IE" w:eastAsia="en-US"/>
        </w:rPr>
        <w:t>More broadly, SLAPPs continue to be widely employed by various actors not just against journalists and media outlets, but also against civic activists or CSOs, with over 40 documented cases of civil actions with SLAPP characteristics, as well as eight criminal cases</w:t>
      </w:r>
      <w:r w:rsidRPr="06236621">
        <w:rPr>
          <w:rFonts w:eastAsia="Aptos"/>
          <w:noProof/>
          <w:vertAlign w:val="superscript"/>
          <w:lang w:val="en-IE" w:eastAsia="en-US"/>
        </w:rPr>
        <w:footnoteReference w:id="157"/>
      </w:r>
      <w:r w:rsidRPr="66C0A495">
        <w:rPr>
          <w:rFonts w:eastAsia="Aptos"/>
          <w:noProof/>
          <w:lang w:val="en-IE" w:eastAsia="en-US"/>
        </w:rPr>
        <w:t>.</w:t>
      </w:r>
      <w:r w:rsidRPr="66C0A495">
        <w:rPr>
          <w:rFonts w:eastAsia="Aptos"/>
          <w:b/>
          <w:bCs/>
          <w:noProof/>
          <w:lang w:val="en-IE" w:eastAsia="en-US"/>
        </w:rPr>
        <w:t xml:space="preserve"> </w:t>
      </w:r>
      <w:r w:rsidRPr="66C0A495">
        <w:rPr>
          <w:rFonts w:eastAsia="Aptos"/>
          <w:noProof/>
          <w:lang w:val="en-IE" w:eastAsia="en-US"/>
        </w:rPr>
        <w:t>The Romanian Institute for Human Rights (RIHR) was designated</w:t>
      </w:r>
      <w:r w:rsidR="00AD671F">
        <w:rPr>
          <w:rFonts w:eastAsia="Aptos"/>
          <w:noProof/>
          <w:lang w:val="en-IE" w:eastAsia="en-US"/>
        </w:rPr>
        <w:t xml:space="preserve"> b</w:t>
      </w:r>
      <w:r w:rsidR="00AD671F" w:rsidRPr="00AD671F">
        <w:rPr>
          <w:rFonts w:eastAsia="Aptos"/>
          <w:noProof/>
          <w:lang w:val="en-IE" w:eastAsia="en-US"/>
        </w:rPr>
        <w:t>y the Ministry of Justice as the national focal point for the follow-up to the Anti-SLAPP Recommendation</w:t>
      </w:r>
      <w:r w:rsidR="00EF5E9E" w:rsidRPr="06236621">
        <w:rPr>
          <w:rFonts w:eastAsia="Aptos"/>
          <w:noProof/>
          <w:vertAlign w:val="superscript"/>
          <w:lang w:val="en-IE" w:eastAsia="en-US"/>
        </w:rPr>
        <w:footnoteReference w:id="158"/>
      </w:r>
      <w:r w:rsidR="0003040B">
        <w:rPr>
          <w:rFonts w:eastAsia="Aptos"/>
          <w:noProof/>
          <w:lang w:val="en-IE" w:eastAsia="en-US"/>
        </w:rPr>
        <w:t>.</w:t>
      </w:r>
      <w:r w:rsidR="00AD671F" w:rsidRPr="00AD671F">
        <w:rPr>
          <w:rFonts w:eastAsia="Aptos"/>
          <w:noProof/>
          <w:lang w:val="en-IE" w:eastAsia="en-US"/>
        </w:rPr>
        <w:t xml:space="preserve"> In this capacity, the RIHR is entrusted with organising training programs for media professionals and human rights defenders, conducting information and awareness campaigns regarding SLAPP procedures, providing information on the support available to individuals targeted by SLAPP proceedings, as well as collecting judicial statistical data relating to SLAPP procedures</w:t>
      </w:r>
      <w:r w:rsidR="00535629" w:rsidRPr="06236621">
        <w:rPr>
          <w:rFonts w:eastAsia="Aptos"/>
          <w:noProof/>
          <w:vertAlign w:val="superscript"/>
          <w:lang w:val="en-IE" w:eastAsia="en-US"/>
        </w:rPr>
        <w:footnoteReference w:id="159"/>
      </w:r>
      <w:r w:rsidRPr="66C0A495">
        <w:rPr>
          <w:rFonts w:eastAsia="Aptos"/>
          <w:noProof/>
          <w:lang w:val="en-IE" w:eastAsia="en-US"/>
        </w:rPr>
        <w:t>. The draft law transposing the Anti-SLAPP Directive, which has been finalised and submitted</w:t>
      </w:r>
      <w:r w:rsidR="001A225F">
        <w:rPr>
          <w:rFonts w:eastAsia="Aptos"/>
          <w:noProof/>
          <w:lang w:val="en-IE" w:eastAsia="en-US"/>
        </w:rPr>
        <w:t xml:space="preserve"> f</w:t>
      </w:r>
      <w:r w:rsidR="007D700B" w:rsidRPr="007D700B">
        <w:rPr>
          <w:rFonts w:eastAsia="Aptos"/>
          <w:noProof/>
          <w:lang w:val="en-IE" w:eastAsia="en-US"/>
        </w:rPr>
        <w:t>or interinstitutional endorsement, covers both cross-border and domestic cases</w:t>
      </w:r>
      <w:r w:rsidR="004E1837">
        <w:rPr>
          <w:rStyle w:val="FootnoteReference"/>
          <w:rFonts w:eastAsia="Aptos"/>
          <w:noProof/>
          <w:lang w:val="en-IE" w:eastAsia="en-US"/>
        </w:rPr>
        <w:footnoteReference w:id="160"/>
      </w:r>
      <w:r w:rsidRPr="66C0A495">
        <w:rPr>
          <w:rFonts w:eastAsia="Aptos"/>
          <w:noProof/>
          <w:lang w:val="en-IE" w:eastAsia="en-US"/>
        </w:rPr>
        <w:t>.</w:t>
      </w:r>
      <w:r w:rsidR="0069796C" w:rsidRPr="0069796C">
        <w:rPr>
          <w:noProof/>
        </w:rPr>
        <w:t xml:space="preserve"> </w:t>
      </w:r>
      <w:r w:rsidR="0069796C">
        <w:rPr>
          <w:noProof/>
        </w:rPr>
        <w:t>The draft</w:t>
      </w:r>
      <w:r w:rsidR="0069796C" w:rsidRPr="005C1565">
        <w:rPr>
          <w:noProof/>
        </w:rPr>
        <w:t xml:space="preserve"> law was approved by the Government on 5 February 2026</w:t>
      </w:r>
      <w:r w:rsidR="0069796C">
        <w:rPr>
          <w:noProof/>
        </w:rPr>
        <w:t xml:space="preserve">, </w:t>
      </w:r>
      <w:r w:rsidR="0069796C" w:rsidRPr="005C1565">
        <w:rPr>
          <w:noProof/>
        </w:rPr>
        <w:t>adopted by the Chamber of Deputies on 20 April and forwarded to the Romanian Senate.</w:t>
      </w:r>
      <w:r w:rsidR="0069796C">
        <w:rPr>
          <w:noProof/>
        </w:rPr>
        <w:t xml:space="preserve"> </w:t>
      </w:r>
      <w:r w:rsidRPr="66C0A495">
        <w:rPr>
          <w:rFonts w:eastAsia="Aptos"/>
          <w:noProof/>
          <w:lang w:val="en-IE" w:eastAsia="en-US"/>
        </w:rPr>
        <w:t>The Media Pluralism Monitor for 2026 ranks the protection and standards of the journalistic profession at medium-low risk (46%)</w:t>
      </w:r>
      <w:r w:rsidR="009D75F7" w:rsidRPr="0063095A">
        <w:rPr>
          <w:rStyle w:val="FootnoteReference"/>
          <w:rFonts w:eastAsia="Aptos"/>
          <w:noProof/>
        </w:rPr>
        <w:footnoteReference w:id="161"/>
      </w:r>
      <w:r w:rsidRPr="73AEDB7D">
        <w:rPr>
          <w:rFonts w:eastAsia="Aptos"/>
          <w:noProof/>
          <w:lang w:val="en-IE" w:eastAsia="en-US"/>
        </w:rPr>
        <w:t>.</w:t>
      </w:r>
    </w:p>
    <w:p w14:paraId="288DAD73" w14:textId="77777777" w:rsidR="003D13B0" w:rsidRPr="0044369A" w:rsidRDefault="003D13B0" w:rsidP="00B662FA">
      <w:pPr>
        <w:pStyle w:val="ListParagraph"/>
        <w:keepNext/>
        <w:numPr>
          <w:ilvl w:val="0"/>
          <w:numId w:val="32"/>
        </w:numPr>
        <w:outlineLvl w:val="0"/>
        <w:rPr>
          <w:b/>
          <w:smallCaps/>
          <w:noProof/>
          <w:szCs w:val="24"/>
          <w:u w:val="single"/>
          <w:lang w:val="en-IE" w:eastAsia="fr-FR"/>
        </w:rPr>
      </w:pPr>
      <w:r w:rsidRPr="0044369A">
        <w:rPr>
          <w:b/>
          <w:smallCaps/>
          <w:noProof/>
          <w:szCs w:val="24"/>
          <w:u w:val="single"/>
          <w:lang w:val="en-IE" w:eastAsia="fr-FR"/>
        </w:rPr>
        <w:t>Other Institutional Issues related to Checks and Balances</w:t>
      </w:r>
    </w:p>
    <w:p w14:paraId="5E43D18B" w14:textId="77777777" w:rsidR="003D13B0" w:rsidRPr="003D13B0" w:rsidRDefault="003D13B0" w:rsidP="003D13B0">
      <w:pPr>
        <w:spacing w:after="200"/>
        <w:rPr>
          <w:rFonts w:eastAsiaTheme="minorHAnsi" w:cstheme="minorBidi"/>
          <w:b/>
          <w:bCs/>
          <w:noProof/>
          <w:szCs w:val="22"/>
          <w:lang w:val="en-US" w:eastAsia="en-US"/>
        </w:rPr>
      </w:pPr>
      <w:r w:rsidRPr="003D13B0">
        <w:rPr>
          <w:rFonts w:eastAsiaTheme="minorHAnsi" w:cstheme="minorBidi"/>
          <w:b/>
          <w:bCs/>
          <w:noProof/>
          <w:szCs w:val="22"/>
          <w:lang w:val="en-US" w:eastAsia="en-US"/>
        </w:rPr>
        <w:t>Some further progress has been made to implement the recommendation on the frequent use of government emergency ordinances and effective public consultations, while a number of shortcomings remain in practice</w:t>
      </w:r>
      <w:r w:rsidRPr="003D13B0">
        <w:rPr>
          <w:rFonts w:eastAsiaTheme="minorHAnsi" w:cstheme="minorBidi"/>
          <w:b/>
          <w:bCs/>
          <w:noProof/>
          <w:szCs w:val="22"/>
          <w:vertAlign w:val="superscript"/>
          <w:lang w:val="en-US" w:eastAsia="en-US"/>
        </w:rPr>
        <w:footnoteReference w:id="162"/>
      </w:r>
      <w:r w:rsidRPr="003D13B0">
        <w:rPr>
          <w:rFonts w:eastAsiaTheme="minorHAnsi" w:cstheme="minorBidi"/>
          <w:b/>
          <w:bCs/>
          <w:noProof/>
          <w:szCs w:val="22"/>
          <w:lang w:val="en-US" w:eastAsia="en-US"/>
        </w:rPr>
        <w:t>.</w:t>
      </w:r>
      <w:r w:rsidRPr="003D13B0">
        <w:rPr>
          <w:rFonts w:eastAsiaTheme="minorHAnsi" w:cstheme="minorBidi"/>
          <w:noProof/>
          <w:szCs w:val="22"/>
          <w:lang w:val="en-US" w:eastAsia="en-US"/>
        </w:rPr>
        <w:t xml:space="preserve"> The number of government emergency ordinances (GEOs) has decreased in 2025, but GEOs continue to be frequently used, including for important measures like tax reforms</w:t>
      </w:r>
      <w:r w:rsidRPr="003D13B0">
        <w:rPr>
          <w:rFonts w:eastAsiaTheme="minorHAnsi" w:cstheme="minorBidi"/>
          <w:noProof/>
          <w:szCs w:val="22"/>
          <w:vertAlign w:val="superscript"/>
          <w:lang w:val="en-US" w:eastAsia="en-US"/>
        </w:rPr>
        <w:footnoteReference w:id="163"/>
      </w:r>
      <w:r w:rsidRPr="003D13B0">
        <w:rPr>
          <w:rFonts w:eastAsiaTheme="minorHAnsi" w:cstheme="minorBidi"/>
          <w:noProof/>
          <w:szCs w:val="22"/>
          <w:lang w:val="en-US" w:eastAsia="en-US"/>
        </w:rPr>
        <w:t>. In 2025, they accounted for 25,5% of all primary legislation adopted</w:t>
      </w:r>
      <w:r w:rsidRPr="003D13B0">
        <w:rPr>
          <w:rFonts w:eastAsiaTheme="minorHAnsi" w:cstheme="minorBidi"/>
          <w:noProof/>
          <w:szCs w:val="22"/>
          <w:vertAlign w:val="superscript"/>
          <w:lang w:val="en-US" w:eastAsia="en-US"/>
        </w:rPr>
        <w:footnoteReference w:id="164"/>
      </w:r>
      <w:r w:rsidRPr="003D13B0">
        <w:rPr>
          <w:rFonts w:eastAsiaTheme="minorHAnsi" w:cstheme="minorBidi"/>
          <w:noProof/>
          <w:szCs w:val="22"/>
          <w:lang w:val="en-US" w:eastAsia="en-US"/>
        </w:rPr>
        <w:t>, compared to 29,3% in 2024 and 21,6% in 2023. They still represent a challenge for businesses and CSOs and often cover more than one legislative area</w:t>
      </w:r>
      <w:r w:rsidRPr="003D13B0">
        <w:rPr>
          <w:rFonts w:eastAsiaTheme="minorHAnsi" w:cstheme="minorBidi"/>
          <w:noProof/>
          <w:szCs w:val="22"/>
          <w:vertAlign w:val="superscript"/>
          <w:lang w:val="en-US" w:eastAsia="en-US"/>
        </w:rPr>
        <w:footnoteReference w:id="165"/>
      </w:r>
      <w:r w:rsidRPr="003D13B0">
        <w:rPr>
          <w:rFonts w:eastAsiaTheme="minorHAnsi" w:cstheme="minorBidi"/>
          <w:noProof/>
          <w:szCs w:val="22"/>
          <w:lang w:val="en-US" w:eastAsia="en-US"/>
        </w:rPr>
        <w:t>. The Consultative Council for the Impact Assessment of Normative Acts (CCEIAN) examined 34 GEOs considered to have an impact on society and the business environment. In 26 cases, CCEIAN concluded that there was insufficient justification for the use of a GEO as the appropriate legal instrument. The e-Consultare platform, which aims to centralise public consultations on draft legislation, was further improved through new features. This platform is however still considered non-user friendly by CSOs and businesses</w:t>
      </w:r>
      <w:r w:rsidRPr="003D13B0">
        <w:rPr>
          <w:rFonts w:eastAsiaTheme="minorHAnsi" w:cstheme="minorBidi"/>
          <w:noProof/>
          <w:szCs w:val="22"/>
          <w:vertAlign w:val="superscript"/>
          <w:lang w:val="en-US" w:eastAsia="en-US"/>
        </w:rPr>
        <w:footnoteReference w:id="166"/>
      </w:r>
      <w:r w:rsidRPr="003D13B0">
        <w:rPr>
          <w:rFonts w:eastAsiaTheme="minorHAnsi" w:cstheme="minorBidi"/>
          <w:noProof/>
          <w:szCs w:val="22"/>
          <w:lang w:val="en-US" w:eastAsia="en-US"/>
        </w:rPr>
        <w:t>. In their view, public consultation often remains a box-ticking exercise, with very tight deadlines and little consideration for their comments</w:t>
      </w:r>
      <w:r w:rsidRPr="003D13B0">
        <w:rPr>
          <w:rFonts w:eastAsiaTheme="minorHAnsi" w:cstheme="minorBidi"/>
          <w:noProof/>
          <w:szCs w:val="22"/>
          <w:vertAlign w:val="superscript"/>
          <w:lang w:val="en-US" w:eastAsia="en-US"/>
        </w:rPr>
        <w:footnoteReference w:id="167"/>
      </w:r>
      <w:r w:rsidRPr="003D13B0">
        <w:rPr>
          <w:rFonts w:eastAsiaTheme="minorHAnsi" w:cstheme="minorBidi"/>
          <w:noProof/>
          <w:szCs w:val="22"/>
          <w:lang w:val="en-US" w:eastAsia="en-US"/>
        </w:rPr>
        <w:t>. Often, the public consultation is carried out too late in the drafting process, when political choices have already been made</w:t>
      </w:r>
      <w:r w:rsidRPr="003D13B0">
        <w:rPr>
          <w:rFonts w:eastAsiaTheme="minorHAnsi" w:cstheme="minorBidi"/>
          <w:noProof/>
          <w:szCs w:val="22"/>
          <w:vertAlign w:val="superscript"/>
          <w:lang w:val="en-US" w:eastAsia="en-US"/>
        </w:rPr>
        <w:footnoteReference w:id="168"/>
      </w:r>
      <w:r w:rsidRPr="003D13B0">
        <w:rPr>
          <w:rFonts w:eastAsiaTheme="minorHAnsi" w:cstheme="minorBidi"/>
          <w:noProof/>
          <w:szCs w:val="22"/>
          <w:lang w:val="en-US" w:eastAsia="en-US"/>
        </w:rPr>
        <w:t>. The RIHR is rarely consulted on draft laws impacting human rights</w:t>
      </w:r>
      <w:r w:rsidRPr="003D13B0">
        <w:rPr>
          <w:rFonts w:eastAsiaTheme="minorHAnsi" w:cstheme="minorBidi"/>
          <w:noProof/>
          <w:szCs w:val="22"/>
          <w:vertAlign w:val="superscript"/>
          <w:lang w:val="en-US" w:eastAsia="en-US"/>
        </w:rPr>
        <w:footnoteReference w:id="169"/>
      </w:r>
      <w:r w:rsidRPr="003D13B0">
        <w:rPr>
          <w:rFonts w:eastAsiaTheme="minorHAnsi" w:cstheme="minorBidi"/>
          <w:noProof/>
          <w:szCs w:val="22"/>
          <w:lang w:val="en-US" w:eastAsia="en-US"/>
        </w:rPr>
        <w:t>. Overall, however, while certain shortcomings are noted, some further progress has been made to decrease the use of GEOs in practice and ensure effective public consultations before the adoption of legislation.</w:t>
      </w:r>
    </w:p>
    <w:p w14:paraId="6ACAA73F" w14:textId="4F0AB778" w:rsidR="003D13B0" w:rsidRPr="003D13B0" w:rsidRDefault="003D13B0" w:rsidP="003D13B0">
      <w:pPr>
        <w:spacing w:after="200"/>
        <w:rPr>
          <w:rFonts w:eastAsiaTheme="minorHAnsi" w:cstheme="minorBidi"/>
          <w:noProof/>
          <w:szCs w:val="22"/>
          <w:lang w:val="en-IE" w:eastAsia="en-US"/>
        </w:rPr>
      </w:pPr>
      <w:bookmarkStart w:id="6" w:name="_Hlk224654880"/>
      <w:r w:rsidRPr="003D13B0">
        <w:rPr>
          <w:rFonts w:eastAsiaTheme="minorHAnsi" w:cstheme="minorBidi"/>
          <w:b/>
          <w:bCs/>
          <w:noProof/>
          <w:szCs w:val="22"/>
          <w:lang w:val="en-IE" w:eastAsia="en-US"/>
        </w:rPr>
        <w:t xml:space="preserve">Legislative unpredictability, driven by frequent amendments to legislation and a large number of draft laws pending in Parliament, remain primary concerns for businesses and CSOs. </w:t>
      </w:r>
      <w:bookmarkEnd w:id="6"/>
      <w:r w:rsidRPr="003D13B0">
        <w:rPr>
          <w:rFonts w:eastAsiaTheme="minorHAnsi" w:cstheme="minorBidi"/>
          <w:noProof/>
          <w:szCs w:val="22"/>
          <w:lang w:val="en-IE" w:eastAsia="en-US"/>
        </w:rPr>
        <w:t>Businesses, judges and CSOs consistently report that lack of legislative predictability is a major concern for them</w:t>
      </w:r>
      <w:r w:rsidRPr="003D13B0">
        <w:rPr>
          <w:rFonts w:eastAsiaTheme="minorHAnsi" w:cstheme="minorBidi"/>
          <w:noProof/>
          <w:szCs w:val="22"/>
          <w:vertAlign w:val="superscript"/>
          <w:lang w:val="en-IE" w:eastAsia="en-US"/>
        </w:rPr>
        <w:footnoteReference w:id="170"/>
      </w:r>
      <w:r w:rsidRPr="003D13B0">
        <w:rPr>
          <w:rFonts w:eastAsiaTheme="minorHAnsi" w:cstheme="minorBidi"/>
          <w:noProof/>
          <w:szCs w:val="22"/>
          <w:lang w:val="en-IE" w:eastAsia="en-US"/>
        </w:rPr>
        <w:t>. Key challenges include frequent amendments to legislation</w:t>
      </w:r>
      <w:r w:rsidRPr="003D13B0">
        <w:rPr>
          <w:rFonts w:eastAsiaTheme="minorHAnsi" w:cstheme="minorBidi"/>
          <w:noProof/>
          <w:szCs w:val="22"/>
          <w:vertAlign w:val="superscript"/>
          <w:lang w:val="en-IE" w:eastAsia="en-US"/>
        </w:rPr>
        <w:footnoteReference w:id="171"/>
      </w:r>
      <w:r w:rsidRPr="003D13B0">
        <w:rPr>
          <w:rFonts w:eastAsiaTheme="minorHAnsi" w:cstheme="minorBidi"/>
          <w:noProof/>
          <w:szCs w:val="22"/>
          <w:lang w:val="en-IE" w:eastAsia="en-US"/>
        </w:rPr>
        <w:t>, the lack of impact assessment or insufficient documentation, the frequent use of government ordinances and ineffective consultations</w:t>
      </w:r>
      <w:r w:rsidRPr="003D13B0">
        <w:rPr>
          <w:rFonts w:eastAsiaTheme="minorHAnsi" w:cstheme="minorBidi"/>
          <w:noProof/>
          <w:szCs w:val="22"/>
          <w:vertAlign w:val="superscript"/>
          <w:lang w:val="en-IE" w:eastAsia="en-US"/>
        </w:rPr>
        <w:footnoteReference w:id="172"/>
      </w:r>
      <w:r w:rsidRPr="003D13B0">
        <w:rPr>
          <w:rFonts w:eastAsiaTheme="minorHAnsi" w:cstheme="minorBidi"/>
          <w:noProof/>
          <w:szCs w:val="22"/>
          <w:lang w:val="en-IE" w:eastAsia="en-US"/>
        </w:rPr>
        <w:t>. Despite legal requirements, the potential impact of proposed legislation on human rights is rarely addressed</w:t>
      </w:r>
      <w:r w:rsidRPr="003D13B0">
        <w:rPr>
          <w:rFonts w:eastAsiaTheme="minorHAnsi" w:cstheme="minorBidi"/>
          <w:noProof/>
          <w:szCs w:val="22"/>
          <w:vertAlign w:val="superscript"/>
          <w:lang w:val="en-IE" w:eastAsia="en-US"/>
        </w:rPr>
        <w:footnoteReference w:id="173"/>
      </w:r>
      <w:r w:rsidRPr="003D13B0">
        <w:rPr>
          <w:rFonts w:eastAsiaTheme="minorHAnsi" w:cstheme="minorBidi"/>
          <w:noProof/>
          <w:szCs w:val="22"/>
          <w:lang w:val="en-IE" w:eastAsia="en-US"/>
        </w:rPr>
        <w:t>. Legislative backlog amounted to 2 500 draft laws when the new parliament was elected in December 2024</w:t>
      </w:r>
      <w:r w:rsidRPr="003D13B0">
        <w:rPr>
          <w:rFonts w:eastAsiaTheme="minorHAnsi" w:cstheme="minorBidi"/>
          <w:noProof/>
          <w:szCs w:val="22"/>
          <w:vertAlign w:val="superscript"/>
          <w:lang w:val="en-IE" w:eastAsia="en-US"/>
        </w:rPr>
        <w:footnoteReference w:id="174"/>
      </w:r>
      <w:r w:rsidRPr="003D13B0">
        <w:rPr>
          <w:rFonts w:eastAsiaTheme="minorHAnsi" w:cstheme="minorBidi"/>
          <w:noProof/>
          <w:szCs w:val="22"/>
          <w:lang w:val="en-IE" w:eastAsia="en-US"/>
        </w:rPr>
        <w:t>. Leaders of the parliament’s committees decide on the agenda of the plenary and can pick any draft law from previous legislatures, which contributes to the unpredictability of law-making. In addition, the Government plays a significant legislative role. Out of a total of 248 laws adopted in 2025, 124 were simple or emergency government ordinances</w:t>
      </w:r>
      <w:r w:rsidRPr="003D13B0">
        <w:rPr>
          <w:rFonts w:eastAsiaTheme="minorHAnsi" w:cstheme="minorBidi"/>
          <w:noProof/>
          <w:szCs w:val="22"/>
          <w:vertAlign w:val="superscript"/>
          <w:lang w:val="en-IE" w:eastAsia="en-US"/>
        </w:rPr>
        <w:footnoteReference w:id="175"/>
      </w:r>
      <w:r w:rsidRPr="003D13B0">
        <w:rPr>
          <w:rFonts w:eastAsiaTheme="minorHAnsi" w:cstheme="minorBidi"/>
          <w:noProof/>
          <w:szCs w:val="22"/>
          <w:lang w:val="en-IE" w:eastAsia="en-US"/>
        </w:rPr>
        <w:t>, which are not part of the public policy planning. Thus, 50% of the primary legislation was adopted by the executive, in rapid procedures, with no parliamentary debate and limited or no public consultation, reinforcing the unpredictability of legislation</w:t>
      </w:r>
      <w:r w:rsidRPr="003D13B0">
        <w:rPr>
          <w:rFonts w:eastAsiaTheme="minorHAnsi" w:cstheme="minorBidi"/>
          <w:noProof/>
          <w:szCs w:val="22"/>
          <w:vertAlign w:val="superscript"/>
          <w:lang w:val="en-IE" w:eastAsia="en-US"/>
        </w:rPr>
        <w:footnoteReference w:id="176"/>
      </w:r>
      <w:r w:rsidRPr="003D13B0">
        <w:rPr>
          <w:rFonts w:eastAsiaTheme="minorHAnsi" w:cstheme="minorBidi"/>
          <w:noProof/>
          <w:szCs w:val="22"/>
          <w:lang w:val="en-IE" w:eastAsia="en-US"/>
        </w:rPr>
        <w:t>. Romania’s recovery and resilience plan includes the adoption of a Plan for Better Regulation 2026-2030 aimed at improving public policy planning, impact assessment and stakeholder consultations</w:t>
      </w:r>
      <w:r w:rsidRPr="003D13B0">
        <w:rPr>
          <w:rFonts w:eastAsiaTheme="minorHAnsi" w:cstheme="minorBidi"/>
          <w:noProof/>
          <w:szCs w:val="22"/>
          <w:vertAlign w:val="superscript"/>
          <w:lang w:val="en-IE" w:eastAsia="en-US"/>
        </w:rPr>
        <w:footnoteReference w:id="177"/>
      </w:r>
      <w:r w:rsidRPr="003D13B0">
        <w:rPr>
          <w:rFonts w:eastAsiaTheme="minorHAnsi" w:cstheme="minorBidi"/>
          <w:noProof/>
          <w:szCs w:val="22"/>
          <w:lang w:val="en-IE" w:eastAsia="en-US"/>
        </w:rPr>
        <w:t>.</w:t>
      </w:r>
    </w:p>
    <w:p w14:paraId="7B7F0F59" w14:textId="77777777" w:rsidR="003D13B0" w:rsidRPr="003D13B0" w:rsidRDefault="003D13B0" w:rsidP="003D13B0">
      <w:pPr>
        <w:rPr>
          <w:rFonts w:eastAsia="Calibri"/>
          <w:noProof/>
          <w:szCs w:val="22"/>
          <w:lang w:eastAsia="en-US"/>
          <w14:ligatures w14:val="standardContextual"/>
        </w:rPr>
      </w:pPr>
      <w:r w:rsidRPr="003D13B0">
        <w:rPr>
          <w:b/>
          <w:bCs/>
          <w:noProof/>
          <w:szCs w:val="22"/>
          <w:lang w:eastAsia="fr-FR"/>
        </w:rPr>
        <w:t xml:space="preserve">More than half of companies surveyed in Romania express confidence in the effectiveness of investment protection. </w:t>
      </w:r>
      <w:r w:rsidRPr="003D13B0">
        <w:rPr>
          <w:rFonts w:eastAsia="Calibri"/>
          <w:noProof/>
          <w:szCs w:val="22"/>
          <w:lang w:val="en-US" w:eastAsia="en-US"/>
        </w:rPr>
        <w:t>53% of companies are very or fairly confident that investments are protected by law and courts, a figure which has decreased in comparison with 2025 (58%)</w:t>
      </w:r>
      <w:r w:rsidRPr="003D13B0">
        <w:rPr>
          <w:rFonts w:eastAsia="Calibri"/>
          <w:noProof/>
          <w:szCs w:val="22"/>
          <w:vertAlign w:val="superscript"/>
          <w:lang w:val="en-US" w:eastAsia="en-US"/>
        </w:rPr>
        <w:footnoteReference w:id="178"/>
      </w:r>
      <w:r w:rsidRPr="003D13B0">
        <w:rPr>
          <w:rFonts w:eastAsia="Calibri"/>
          <w:noProof/>
          <w:szCs w:val="22"/>
          <w:lang w:val="en-US" w:eastAsia="en-US"/>
        </w:rPr>
        <w:t>. As regards authorities relevant for economic operators, 57% perceive the level of independence of the national competition authority (</w:t>
      </w:r>
      <w:r w:rsidRPr="003D13B0">
        <w:rPr>
          <w:noProof/>
          <w:szCs w:val="22"/>
          <w:lang w:val="en-IE" w:eastAsia="en-IE"/>
        </w:rPr>
        <w:t>The Competition Council</w:t>
      </w:r>
      <w:r w:rsidRPr="003D13B0">
        <w:rPr>
          <w:rFonts w:eastAsia="Calibri"/>
          <w:noProof/>
          <w:szCs w:val="22"/>
          <w:lang w:val="en-US" w:eastAsia="en-US"/>
        </w:rPr>
        <w:t>) as very or fairly good, a figure which has significantly increased in comparison with 2025 (49%)</w:t>
      </w:r>
      <w:r w:rsidRPr="003D13B0">
        <w:rPr>
          <w:rFonts w:eastAsia="Calibri"/>
          <w:noProof/>
          <w:szCs w:val="22"/>
          <w:vertAlign w:val="superscript"/>
          <w:lang w:val="en-US" w:eastAsia="en-US"/>
        </w:rPr>
        <w:footnoteReference w:id="179"/>
      </w:r>
      <w:r w:rsidRPr="003D13B0">
        <w:rPr>
          <w:rFonts w:eastAsia="Calibri"/>
          <w:noProof/>
          <w:szCs w:val="22"/>
          <w:lang w:val="en-US" w:eastAsia="en-US"/>
        </w:rPr>
        <w:t xml:space="preserve">. </w:t>
      </w:r>
      <w:r w:rsidRPr="003D13B0">
        <w:rPr>
          <w:rFonts w:eastAsia="Calibri"/>
          <w:noProof/>
          <w:szCs w:val="22"/>
          <w:lang w:eastAsia="en-US"/>
          <w14:ligatures w14:val="standardContextual"/>
        </w:rPr>
        <w:t>The Legislative Council has jurisdiction in several business-related cases, including in cases related to public concessions, public contracts and economic regulation. A number of judicial mechanisms to improve efficiency are available in these cases, including the possibility to apply interim measures and joint examination of similar cases</w:t>
      </w:r>
      <w:r w:rsidRPr="003D13B0">
        <w:rPr>
          <w:rFonts w:eastAsia="Calibri"/>
          <w:noProof/>
          <w:szCs w:val="22"/>
          <w:vertAlign w:val="superscript"/>
          <w:lang w:eastAsia="en-US"/>
          <w14:ligatures w14:val="standardContextual"/>
        </w:rPr>
        <w:footnoteReference w:id="180"/>
      </w:r>
      <w:r w:rsidRPr="003D13B0">
        <w:rPr>
          <w:rFonts w:eastAsia="Calibri"/>
          <w:noProof/>
          <w:szCs w:val="22"/>
          <w:lang w:eastAsia="en-US"/>
          <w14:ligatures w14:val="standardContextual"/>
        </w:rPr>
        <w:t>.</w:t>
      </w:r>
    </w:p>
    <w:p w14:paraId="547CC616" w14:textId="198DF1DB" w:rsidR="003D13B0" w:rsidRPr="003D13B0" w:rsidRDefault="003D13B0" w:rsidP="003D13B0">
      <w:pPr>
        <w:spacing w:after="200"/>
        <w:rPr>
          <w:rFonts w:eastAsiaTheme="minorHAnsi" w:cstheme="minorBidi"/>
          <w:noProof/>
          <w:szCs w:val="22"/>
          <w:lang w:val="en-IE" w:eastAsia="en-US"/>
        </w:rPr>
      </w:pPr>
      <w:r w:rsidRPr="003D13B0">
        <w:rPr>
          <w:rFonts w:eastAsiaTheme="minorHAnsi" w:cstheme="minorBidi"/>
          <w:b/>
          <w:bCs/>
          <w:noProof/>
          <w:szCs w:val="22"/>
          <w:lang w:val="en-IE" w:eastAsia="en-US"/>
        </w:rPr>
        <w:t>There has been no progress on the recommendation on the accreditation of National Human Rights Institutions, as a decision is still pending</w:t>
      </w:r>
      <w:r w:rsidRPr="003D13B0">
        <w:rPr>
          <w:rFonts w:eastAsiaTheme="minorHAnsi" w:cstheme="minorBidi"/>
          <w:b/>
          <w:bCs/>
          <w:noProof/>
          <w:szCs w:val="22"/>
          <w:vertAlign w:val="superscript"/>
          <w:lang w:val="en-IE" w:eastAsia="en-US"/>
        </w:rPr>
        <w:footnoteReference w:id="181"/>
      </w:r>
      <w:r w:rsidRPr="003D13B0">
        <w:rPr>
          <w:rFonts w:eastAsiaTheme="minorHAnsi" w:cstheme="minorBidi"/>
          <w:b/>
          <w:bCs/>
          <w:noProof/>
          <w:szCs w:val="22"/>
          <w:lang w:val="en-IE" w:eastAsia="en-US"/>
        </w:rPr>
        <w:t xml:space="preserve">. </w:t>
      </w:r>
      <w:r w:rsidRPr="003D13B0">
        <w:rPr>
          <w:rFonts w:eastAsiaTheme="minorHAnsi" w:cstheme="minorBidi"/>
          <w:noProof/>
          <w:szCs w:val="22"/>
          <w:lang w:val="en-IE" w:eastAsia="en-US"/>
        </w:rPr>
        <w:t>The accreditation process is still paused following questions from GANHRI’s</w:t>
      </w:r>
      <w:r w:rsidRPr="003D13B0">
        <w:rPr>
          <w:rFonts w:eastAsiaTheme="minorHAnsi" w:cstheme="minorBidi"/>
          <w:noProof/>
          <w:szCs w:val="22"/>
          <w:vertAlign w:val="superscript"/>
          <w:lang w:val="en-IE" w:eastAsia="en-US"/>
        </w:rPr>
        <w:footnoteReference w:id="182"/>
      </w:r>
      <w:r w:rsidRPr="003D13B0">
        <w:rPr>
          <w:rFonts w:eastAsiaTheme="minorHAnsi" w:cstheme="minorBidi"/>
          <w:noProof/>
          <w:szCs w:val="22"/>
          <w:lang w:val="en-IE" w:eastAsia="en-US"/>
        </w:rPr>
        <w:t xml:space="preserve"> Sub-committee on Accreditation (SCA) pertaining to the accreditation of more than one National Human Rights Institution (NHRI) from one United Nations member state, with the same geographical scope</w:t>
      </w:r>
      <w:r w:rsidRPr="003D13B0">
        <w:rPr>
          <w:rFonts w:eastAsiaTheme="minorHAnsi" w:cstheme="minorBidi"/>
          <w:noProof/>
          <w:szCs w:val="22"/>
          <w:vertAlign w:val="superscript"/>
          <w:lang w:val="en-IE" w:eastAsia="en-US"/>
        </w:rPr>
        <w:footnoteReference w:id="183"/>
      </w:r>
      <w:r w:rsidRPr="003D13B0">
        <w:rPr>
          <w:rFonts w:eastAsiaTheme="minorHAnsi" w:cstheme="minorBidi"/>
          <w:noProof/>
          <w:szCs w:val="22"/>
          <w:lang w:val="en-IE" w:eastAsia="en-US"/>
        </w:rPr>
        <w:t>. In addition, while the SCA, the EU Agency for Fundamental Rights (FRA) and the European Network for National Human Rights Institutions (ENNHRI) identified non-compliance issues with the Paris Principles for both institutions, regarding the institutional independence, sufficient resources and institutional capacity, no action has been taken by the public authorities in this regard</w:t>
      </w:r>
      <w:r w:rsidRPr="003D13B0">
        <w:rPr>
          <w:rFonts w:eastAsiaTheme="minorHAnsi" w:cstheme="minorBidi"/>
          <w:noProof/>
          <w:szCs w:val="22"/>
          <w:vertAlign w:val="superscript"/>
          <w:lang w:val="en-IE" w:eastAsia="en-US"/>
        </w:rPr>
        <w:footnoteReference w:id="184"/>
      </w:r>
      <w:r w:rsidRPr="003D13B0">
        <w:rPr>
          <w:rFonts w:eastAsiaTheme="minorHAnsi" w:cstheme="minorBidi"/>
          <w:noProof/>
          <w:szCs w:val="22"/>
          <w:lang w:val="en-IE" w:eastAsia="en-US"/>
        </w:rPr>
        <w:t xml:space="preserve">. The resources of the </w:t>
      </w:r>
      <w:r w:rsidRPr="003D13B0">
        <w:rPr>
          <w:rFonts w:eastAsia="Calibri" w:cs="Arial"/>
          <w:noProof/>
          <w:szCs w:val="22"/>
          <w:lang w:val="en-US" w:eastAsia="en-US"/>
        </w:rPr>
        <w:t xml:space="preserve">RIHR have been divided by two in 2025 and have not increased in 2026, leading to important staff cuts, despite the RIHR’s new responsibilities as the </w:t>
      </w:r>
      <w:r w:rsidRPr="003D13B0">
        <w:rPr>
          <w:rFonts w:eastAsiaTheme="minorHAnsi" w:cstheme="minorBidi"/>
          <w:noProof/>
          <w:szCs w:val="22"/>
          <w:lang w:val="en-US" w:eastAsia="en-US"/>
        </w:rPr>
        <w:t>Anti-SLAPP Focal Point and calls from ENNHRI and UN bodies</w:t>
      </w:r>
      <w:r w:rsidRPr="003D13B0">
        <w:rPr>
          <w:rFonts w:eastAsiaTheme="minorHAnsi" w:cstheme="minorBidi"/>
          <w:noProof/>
          <w:szCs w:val="22"/>
          <w:vertAlign w:val="superscript"/>
          <w:lang w:val="en-US" w:eastAsia="en-US"/>
        </w:rPr>
        <w:footnoteReference w:id="185"/>
      </w:r>
      <w:r w:rsidRPr="003D13B0">
        <w:rPr>
          <w:rFonts w:eastAsiaTheme="minorHAnsi" w:cstheme="minorBidi"/>
          <w:noProof/>
          <w:szCs w:val="22"/>
          <w:lang w:val="en-US" w:eastAsia="en-US"/>
        </w:rPr>
        <w:t>.</w:t>
      </w:r>
      <w:r w:rsidRPr="003D13B0">
        <w:rPr>
          <w:rFonts w:eastAsiaTheme="minorHAnsi" w:cstheme="minorBidi"/>
          <w:noProof/>
          <w:szCs w:val="22"/>
          <w:lang w:val="en-IE" w:eastAsia="en-US"/>
        </w:rPr>
        <w:t xml:space="preserve"> The mandate of the Ombudsperson expired in June 2024 and Parliament has not yet launched a new appointment procedure. CSOs criticize an untransparent process and the threat to the independence of this institution. The mandates of 4 out of 9 members of the Equality Body</w:t>
      </w:r>
      <w:r w:rsidRPr="003D13B0">
        <w:rPr>
          <w:rFonts w:eastAsiaTheme="minorHAnsi" w:cstheme="minorBidi"/>
          <w:noProof/>
          <w:szCs w:val="22"/>
          <w:vertAlign w:val="superscript"/>
          <w:lang w:val="en-IE" w:eastAsia="en-US"/>
        </w:rPr>
        <w:footnoteReference w:id="186"/>
      </w:r>
      <w:r w:rsidRPr="003D13B0">
        <w:rPr>
          <w:rFonts w:eastAsiaTheme="minorHAnsi" w:cstheme="minorBidi"/>
          <w:noProof/>
          <w:szCs w:val="22"/>
          <w:lang w:val="en-IE" w:eastAsia="en-US"/>
        </w:rPr>
        <w:t xml:space="preserve"> have also expired, and their seat remains unoccupied</w:t>
      </w:r>
      <w:r w:rsidRPr="003D13B0">
        <w:rPr>
          <w:rFonts w:eastAsiaTheme="minorHAnsi" w:cstheme="minorBidi"/>
          <w:noProof/>
          <w:szCs w:val="22"/>
          <w:vertAlign w:val="superscript"/>
          <w:lang w:val="en-IE" w:eastAsia="en-US"/>
        </w:rPr>
        <w:footnoteReference w:id="187"/>
      </w:r>
      <w:r w:rsidRPr="003D13B0">
        <w:rPr>
          <w:rFonts w:eastAsiaTheme="minorHAnsi" w:cstheme="minorBidi"/>
          <w:noProof/>
          <w:szCs w:val="22"/>
          <w:lang w:val="en-IE" w:eastAsia="en-US"/>
        </w:rPr>
        <w:t>. Since the process is still paused, no progress has been made regarding the accreditation of NHRIs.</w:t>
      </w:r>
    </w:p>
    <w:p w14:paraId="51C82477" w14:textId="13940BA1" w:rsidR="003D13B0" w:rsidRPr="003D13B0" w:rsidRDefault="003D13B0" w:rsidP="003D13B0">
      <w:pPr>
        <w:rPr>
          <w:rFonts w:eastAsiaTheme="minorHAnsi" w:cstheme="minorBidi"/>
          <w:b/>
          <w:noProof/>
          <w:szCs w:val="22"/>
          <w:lang w:val="en-IE" w:eastAsia="en-US"/>
        </w:rPr>
      </w:pPr>
      <w:r w:rsidRPr="003D13B0">
        <w:rPr>
          <w:rFonts w:eastAsiaTheme="minorHAnsi"/>
          <w:b/>
          <w:bCs/>
          <w:noProof/>
          <w:szCs w:val="22"/>
          <w:lang w:val="en-IE" w:eastAsia="en-US"/>
        </w:rPr>
        <w:t xml:space="preserve">On 1 January 2026, Romania had 84 leading judgments of the European Court of Human Rights pending implementation, a </w:t>
      </w:r>
      <w:r w:rsidRPr="003D13B0">
        <w:rPr>
          <w:rFonts w:eastAsiaTheme="minorHAnsi"/>
          <w:b/>
          <w:noProof/>
          <w:szCs w:val="22"/>
          <w:lang w:val="en-IE" w:eastAsia="en-US"/>
        </w:rPr>
        <w:t>decrease</w:t>
      </w:r>
      <w:r w:rsidRPr="003D13B0">
        <w:rPr>
          <w:rFonts w:eastAsiaTheme="minorHAnsi"/>
          <w:b/>
          <w:bCs/>
          <w:noProof/>
          <w:szCs w:val="22"/>
          <w:lang w:val="en-IE" w:eastAsia="en-US"/>
        </w:rPr>
        <w:t xml:space="preserve"> of 27 compared to the previous year</w:t>
      </w:r>
      <w:r w:rsidRPr="003D13B0">
        <w:rPr>
          <w:rFonts w:eastAsiaTheme="minorHAnsi"/>
          <w:b/>
          <w:bCs/>
          <w:noProof/>
          <w:szCs w:val="22"/>
          <w:vertAlign w:val="superscript"/>
          <w:lang w:val="en-US" w:eastAsia="en-US"/>
        </w:rPr>
        <w:footnoteReference w:id="188"/>
      </w:r>
      <w:r w:rsidRPr="003D13B0">
        <w:rPr>
          <w:rFonts w:eastAsiaTheme="minorHAnsi"/>
          <w:b/>
          <w:bCs/>
          <w:noProof/>
          <w:szCs w:val="22"/>
          <w:lang w:val="en-IE" w:eastAsia="en-US"/>
        </w:rPr>
        <w:t xml:space="preserve">. </w:t>
      </w:r>
      <w:r w:rsidRPr="003D13B0">
        <w:rPr>
          <w:rFonts w:eastAsiaTheme="minorHAnsi"/>
          <w:noProof/>
          <w:szCs w:val="22"/>
          <w:lang w:val="en-IE" w:eastAsia="en-US"/>
        </w:rPr>
        <w:t>At that time, Romania’s rate of leading judgments from the past 10 years that had been implemented was at</w:t>
      </w:r>
      <w:r w:rsidRPr="003D13B0" w:rsidDel="00953484">
        <w:rPr>
          <w:rFonts w:eastAsiaTheme="minorHAnsi"/>
          <w:noProof/>
          <w:szCs w:val="22"/>
          <w:lang w:val="en-IE" w:eastAsia="en-US"/>
        </w:rPr>
        <w:t xml:space="preserve"> </w:t>
      </w:r>
      <w:r w:rsidRPr="003D13B0">
        <w:rPr>
          <w:rFonts w:eastAsiaTheme="minorHAnsi"/>
          <w:noProof/>
          <w:szCs w:val="22"/>
          <w:lang w:val="en-IE" w:eastAsia="en-US"/>
        </w:rPr>
        <w:t>50% (compared to 40% in 2025; 50% remained pending), and the average time that the judgments had been pending implementation was 6 years and 7 months (compared to 6 years and 3 months in 2025)</w:t>
      </w:r>
      <w:r w:rsidRPr="003D13B0">
        <w:rPr>
          <w:rFonts w:eastAsiaTheme="minorHAnsi"/>
          <w:noProof/>
          <w:szCs w:val="22"/>
          <w:vertAlign w:val="superscript"/>
          <w:lang w:val="en-US" w:eastAsia="en-US"/>
        </w:rPr>
        <w:footnoteReference w:id="189"/>
      </w:r>
      <w:r w:rsidRPr="003D13B0">
        <w:rPr>
          <w:rFonts w:eastAsiaTheme="minorHAnsi"/>
          <w:noProof/>
          <w:szCs w:val="22"/>
          <w:lang w:val="en-IE" w:eastAsia="en-US"/>
        </w:rPr>
        <w:t xml:space="preserve">. The oldest leading judgment, </w:t>
      </w:r>
      <w:r w:rsidRPr="003D13B0">
        <w:rPr>
          <w:rFonts w:eastAsiaTheme="minorHAnsi"/>
          <w:noProof/>
          <w:szCs w:val="22"/>
          <w:lang w:eastAsia="en-US"/>
        </w:rPr>
        <w:t xml:space="preserve">pending implementation for </w:t>
      </w:r>
      <w:r w:rsidR="009247CC">
        <w:rPr>
          <w:rFonts w:eastAsiaTheme="minorHAnsi"/>
          <w:noProof/>
          <w:szCs w:val="22"/>
          <w:lang w:eastAsia="en-US"/>
        </w:rPr>
        <w:t>16</w:t>
      </w:r>
      <w:r w:rsidR="009247CC" w:rsidRPr="003D13B0">
        <w:rPr>
          <w:rFonts w:eastAsiaTheme="minorHAnsi"/>
          <w:noProof/>
          <w:szCs w:val="22"/>
          <w:lang w:eastAsia="en-US"/>
        </w:rPr>
        <w:t xml:space="preserve"> </w:t>
      </w:r>
      <w:r w:rsidRPr="003D13B0">
        <w:rPr>
          <w:rFonts w:eastAsiaTheme="minorHAnsi"/>
          <w:noProof/>
          <w:szCs w:val="22"/>
          <w:lang w:eastAsia="en-US"/>
        </w:rPr>
        <w:t xml:space="preserve">years, concerns </w:t>
      </w:r>
      <w:r w:rsidR="00167B29" w:rsidRPr="00167B29">
        <w:rPr>
          <w:rFonts w:eastAsiaTheme="minorHAnsi"/>
          <w:noProof/>
          <w:szCs w:val="22"/>
          <w:lang w:eastAsia="en-US"/>
        </w:rPr>
        <w:t xml:space="preserve">structural deficiencies in the mechanisms set up </w:t>
      </w:r>
      <w:r w:rsidR="001D1956">
        <w:rPr>
          <w:rFonts w:eastAsiaTheme="minorHAnsi"/>
          <w:noProof/>
          <w:szCs w:val="22"/>
          <w:lang w:eastAsia="en-US"/>
        </w:rPr>
        <w:t xml:space="preserve">for the </w:t>
      </w:r>
      <w:r w:rsidR="00167B29" w:rsidRPr="00167B29">
        <w:rPr>
          <w:rFonts w:eastAsiaTheme="minorHAnsi"/>
          <w:noProof/>
          <w:szCs w:val="22"/>
          <w:lang w:eastAsia="en-US"/>
        </w:rPr>
        <w:t xml:space="preserve">restitution </w:t>
      </w:r>
      <w:r w:rsidR="00167B29" w:rsidRPr="00167B29" w:rsidDel="00BD6647">
        <w:rPr>
          <w:rFonts w:eastAsiaTheme="minorHAnsi"/>
          <w:noProof/>
          <w:szCs w:val="22"/>
          <w:lang w:eastAsia="en-US"/>
        </w:rPr>
        <w:t>of</w:t>
      </w:r>
      <w:r w:rsidR="00A4043A">
        <w:rPr>
          <w:rFonts w:eastAsiaTheme="minorHAnsi"/>
          <w:noProof/>
          <w:szCs w:val="22"/>
          <w:lang w:eastAsia="en-US"/>
        </w:rPr>
        <w:t>,</w:t>
      </w:r>
      <w:r w:rsidR="00167B29" w:rsidRPr="00167B29" w:rsidDel="00BD6647">
        <w:rPr>
          <w:rFonts w:eastAsiaTheme="minorHAnsi"/>
          <w:noProof/>
          <w:szCs w:val="22"/>
          <w:lang w:eastAsia="en-US"/>
        </w:rPr>
        <w:t xml:space="preserve"> </w:t>
      </w:r>
      <w:r w:rsidR="00167B29" w:rsidRPr="00167B29">
        <w:rPr>
          <w:rFonts w:eastAsiaTheme="minorHAnsi"/>
          <w:noProof/>
          <w:szCs w:val="22"/>
          <w:lang w:eastAsia="en-US"/>
        </w:rPr>
        <w:t>or compensat</w:t>
      </w:r>
      <w:r w:rsidR="00167B29" w:rsidRPr="00167B29" w:rsidDel="00AF716A">
        <w:rPr>
          <w:rFonts w:eastAsiaTheme="minorHAnsi"/>
          <w:noProof/>
          <w:szCs w:val="22"/>
          <w:lang w:eastAsia="en-US"/>
        </w:rPr>
        <w:t>ion</w:t>
      </w:r>
      <w:r w:rsidR="00167B29" w:rsidRPr="00167B29">
        <w:rPr>
          <w:rFonts w:eastAsiaTheme="minorHAnsi"/>
          <w:noProof/>
          <w:szCs w:val="22"/>
          <w:lang w:eastAsia="en-US"/>
        </w:rPr>
        <w:t xml:space="preserve"> for</w:t>
      </w:r>
      <w:r w:rsidR="002B2744">
        <w:rPr>
          <w:rFonts w:eastAsiaTheme="minorHAnsi"/>
          <w:noProof/>
          <w:szCs w:val="22"/>
          <w:lang w:eastAsia="en-US"/>
        </w:rPr>
        <w:t>,</w:t>
      </w:r>
      <w:r w:rsidR="00167B29" w:rsidRPr="00167B29">
        <w:rPr>
          <w:rFonts w:eastAsiaTheme="minorHAnsi"/>
          <w:noProof/>
          <w:szCs w:val="22"/>
          <w:lang w:eastAsia="en-US"/>
        </w:rPr>
        <w:t xml:space="preserve"> properties nationalised during the communist period</w:t>
      </w:r>
      <w:r w:rsidRPr="003D13B0">
        <w:rPr>
          <w:rFonts w:eastAsiaTheme="minorHAnsi"/>
          <w:noProof/>
          <w:szCs w:val="22"/>
          <w:vertAlign w:val="superscript"/>
          <w:lang w:eastAsia="en-US"/>
        </w:rPr>
        <w:footnoteReference w:id="190"/>
      </w:r>
      <w:r w:rsidRPr="003D13B0">
        <w:rPr>
          <w:rFonts w:eastAsiaTheme="minorHAnsi"/>
          <w:noProof/>
          <w:szCs w:val="22"/>
          <w:lang w:eastAsia="en-US"/>
        </w:rPr>
        <w:t>.</w:t>
      </w:r>
      <w:r w:rsidRPr="003D13B0">
        <w:rPr>
          <w:rFonts w:eastAsiaTheme="minorHAnsi"/>
          <w:b/>
          <w:bCs/>
          <w:noProof/>
          <w:szCs w:val="22"/>
          <w:lang w:val="en-IE" w:eastAsia="en-US"/>
        </w:rPr>
        <w:t xml:space="preserve"> </w:t>
      </w:r>
      <w:r w:rsidRPr="003D13B0">
        <w:rPr>
          <w:rFonts w:eastAsiaTheme="minorHAnsi"/>
          <w:noProof/>
          <w:szCs w:val="22"/>
          <w:lang w:val="en-IE" w:eastAsia="en-US"/>
        </w:rPr>
        <w:t>As regards the respect of payment deadlines, on 31 December 2025 there were 55 cases in total awaiting confirmation of payments (compared to 99 in 2024)</w:t>
      </w:r>
      <w:r w:rsidRPr="003D13B0">
        <w:rPr>
          <w:rFonts w:eastAsiaTheme="minorHAnsi"/>
          <w:noProof/>
          <w:szCs w:val="22"/>
          <w:vertAlign w:val="superscript"/>
          <w:lang w:val="en-US" w:eastAsia="en-US"/>
        </w:rPr>
        <w:footnoteReference w:id="191"/>
      </w:r>
      <w:r w:rsidRPr="003D13B0">
        <w:rPr>
          <w:rFonts w:eastAsiaTheme="minorHAnsi"/>
          <w:noProof/>
          <w:szCs w:val="22"/>
          <w:lang w:val="en-IE" w:eastAsia="en-US"/>
        </w:rPr>
        <w:t>.</w:t>
      </w:r>
      <w:r w:rsidRPr="003D13B0">
        <w:rPr>
          <w:rFonts w:eastAsiaTheme="minorHAnsi"/>
          <w:b/>
          <w:bCs/>
          <w:noProof/>
          <w:szCs w:val="22"/>
          <w:lang w:val="en-IE" w:eastAsia="en-US"/>
        </w:rPr>
        <w:t xml:space="preserve"> </w:t>
      </w:r>
      <w:r w:rsidRPr="003D13B0">
        <w:rPr>
          <w:rFonts w:eastAsiaTheme="minorHAnsi"/>
          <w:noProof/>
          <w:szCs w:val="22"/>
          <w:lang w:val="en-IE" w:eastAsia="en-US"/>
        </w:rPr>
        <w:t xml:space="preserve">On </w:t>
      </w:r>
      <w:r w:rsidR="00EF183C">
        <w:rPr>
          <w:rFonts w:eastAsiaTheme="minorHAnsi"/>
          <w:noProof/>
          <w:szCs w:val="22"/>
          <w:lang w:val="en-IE" w:eastAsia="en-US"/>
        </w:rPr>
        <w:t>17</w:t>
      </w:r>
      <w:r w:rsidR="00EF183C" w:rsidRPr="003D13B0">
        <w:rPr>
          <w:rFonts w:eastAsiaTheme="minorHAnsi"/>
          <w:noProof/>
          <w:szCs w:val="22"/>
          <w:lang w:val="en-IE" w:eastAsia="en-US"/>
        </w:rPr>
        <w:t xml:space="preserve"> </w:t>
      </w:r>
      <w:r w:rsidRPr="003D13B0">
        <w:rPr>
          <w:rFonts w:eastAsiaTheme="minorHAnsi"/>
          <w:noProof/>
          <w:szCs w:val="22"/>
          <w:lang w:val="en-IE" w:eastAsia="en-US"/>
        </w:rPr>
        <w:t xml:space="preserve">June 2026, the number of leading judgments pending implementation had decreased to </w:t>
      </w:r>
      <w:r w:rsidR="00B42A13">
        <w:rPr>
          <w:rFonts w:eastAsiaTheme="minorHAnsi"/>
          <w:noProof/>
          <w:szCs w:val="22"/>
          <w:lang w:val="en-IE" w:eastAsia="en-US"/>
        </w:rPr>
        <w:t>82</w:t>
      </w:r>
      <w:r w:rsidRPr="003D13B0">
        <w:rPr>
          <w:rFonts w:eastAsiaTheme="minorHAnsi"/>
          <w:noProof/>
          <w:szCs w:val="22"/>
          <w:vertAlign w:val="superscript"/>
          <w:lang w:val="en-US" w:eastAsia="en-US"/>
        </w:rPr>
        <w:footnoteReference w:id="192"/>
      </w:r>
      <w:r w:rsidRPr="003D13B0">
        <w:rPr>
          <w:rFonts w:eastAsiaTheme="minorHAnsi"/>
          <w:noProof/>
          <w:szCs w:val="22"/>
          <w:lang w:val="en-IE" w:eastAsia="en-US"/>
        </w:rPr>
        <w:t>.</w:t>
      </w:r>
    </w:p>
    <w:p w14:paraId="0141F683" w14:textId="6CC7E534" w:rsidR="003D13B0" w:rsidRPr="003D13B0" w:rsidRDefault="003D13B0" w:rsidP="003D13B0">
      <w:pPr>
        <w:spacing w:after="200"/>
        <w:rPr>
          <w:rFonts w:eastAsiaTheme="minorHAnsi" w:cstheme="minorBidi"/>
          <w:noProof/>
          <w:szCs w:val="22"/>
          <w:lang w:val="en-IE" w:eastAsia="en-US"/>
        </w:rPr>
      </w:pPr>
      <w:r w:rsidRPr="003D13B0">
        <w:rPr>
          <w:rFonts w:eastAsiaTheme="minorHAnsi" w:cstheme="minorBidi"/>
          <w:b/>
          <w:bCs/>
          <w:noProof/>
          <w:szCs w:val="22"/>
          <w:lang w:val="en-IE" w:eastAsia="en-US"/>
        </w:rPr>
        <w:t xml:space="preserve">Actions planned in the framework of the Strategy for Open Government in Romania 2025-2030 remain to be implemented and CSOs report increasing restrictions to their work. </w:t>
      </w:r>
      <w:r w:rsidRPr="003D13B0">
        <w:rPr>
          <w:rFonts w:eastAsiaTheme="minorHAnsi" w:cstheme="minorBidi"/>
          <w:noProof/>
          <w:szCs w:val="22"/>
          <w:lang w:val="en-IE" w:eastAsia="en-US"/>
        </w:rPr>
        <w:t xml:space="preserve">Actions planned in the Strategy for Open Government by the end of 2025 have not been implemented. </w:t>
      </w:r>
      <w:r w:rsidRPr="003D13B0">
        <w:rPr>
          <w:rFonts w:eastAsiaTheme="minorHAnsi" w:cstheme="minorBidi"/>
          <w:noProof/>
          <w:szCs w:val="22"/>
          <w:lang w:val="en-IE" w:eastAsia="fr-FR"/>
        </w:rPr>
        <w:t>Civic space continues to be rated as ‘narrowed’ by Civicus</w:t>
      </w:r>
      <w:r w:rsidRPr="003D13B0">
        <w:rPr>
          <w:rFonts w:eastAsiaTheme="minorHAnsi" w:cstheme="minorBidi"/>
          <w:noProof/>
          <w:szCs w:val="22"/>
          <w:vertAlign w:val="superscript"/>
          <w:lang w:val="en-IE" w:eastAsia="fr-FR"/>
        </w:rPr>
        <w:footnoteReference w:id="193"/>
      </w:r>
      <w:r w:rsidRPr="003D13B0">
        <w:rPr>
          <w:rFonts w:eastAsiaTheme="minorHAnsi" w:cstheme="minorBidi"/>
          <w:noProof/>
          <w:szCs w:val="22"/>
          <w:lang w:val="en-IE" w:eastAsia="en-US"/>
        </w:rPr>
        <w:t>, with a reported growing trend of political, administrative and institutional constraints on the fundamental rights of association, expression and peaceful assembly and of intimidation targeting civil society actors, especially organisations working in areas like minority rights, environment and anti-corruption</w:t>
      </w:r>
      <w:r w:rsidRPr="003D13B0">
        <w:rPr>
          <w:rFonts w:eastAsiaTheme="minorHAnsi" w:cstheme="minorBidi"/>
          <w:noProof/>
          <w:szCs w:val="22"/>
          <w:vertAlign w:val="superscript"/>
          <w:lang w:val="en-IE" w:eastAsia="en-US"/>
        </w:rPr>
        <w:footnoteReference w:id="194"/>
      </w:r>
      <w:r w:rsidRPr="003D13B0">
        <w:rPr>
          <w:rFonts w:eastAsiaTheme="minorHAnsi" w:cstheme="minorBidi"/>
          <w:noProof/>
          <w:szCs w:val="22"/>
          <w:lang w:val="en-IE" w:eastAsia="en-US"/>
        </w:rPr>
        <w:t>. ENNHRI notes structural challenges for CSOs and human rights defenders, such as barriers to participation in policy making, excessive administrative controls and audits political and reputational pressures, including through public negative narrative as well as a lack of adequate funding</w:t>
      </w:r>
      <w:r w:rsidRPr="003D13B0">
        <w:rPr>
          <w:rFonts w:eastAsiaTheme="minorHAnsi" w:cstheme="minorBidi"/>
          <w:noProof/>
          <w:szCs w:val="22"/>
          <w:vertAlign w:val="superscript"/>
          <w:lang w:val="en-IE" w:eastAsia="en-US"/>
        </w:rPr>
        <w:footnoteReference w:id="195"/>
      </w:r>
      <w:r w:rsidRPr="003D13B0">
        <w:rPr>
          <w:rFonts w:eastAsiaTheme="minorHAnsi" w:cstheme="minorBidi"/>
          <w:noProof/>
          <w:szCs w:val="22"/>
          <w:lang w:val="en-IE" w:eastAsia="en-US"/>
        </w:rPr>
        <w:t>. CSOs report that attacks by media or politicians have increased, resulting in a chilling effect on civic engagement. According to them, SLAPPs are being used against activists and CSOs working in areas which are seen as likely to endanger or stand in opposition to corporate or state interests. CSOs report that the draft law to transpose the EU Anti-SLAPPs Directive</w:t>
      </w:r>
      <w:r w:rsidRPr="003D13B0">
        <w:rPr>
          <w:rFonts w:eastAsiaTheme="minorHAnsi" w:cstheme="minorBidi"/>
          <w:noProof/>
          <w:szCs w:val="22"/>
          <w:vertAlign w:val="superscript"/>
          <w:lang w:val="en-IE" w:eastAsia="en-US"/>
        </w:rPr>
        <w:footnoteReference w:id="196"/>
      </w:r>
      <w:r w:rsidRPr="003D13B0">
        <w:rPr>
          <w:rFonts w:eastAsiaTheme="minorHAnsi" w:cstheme="minorBidi"/>
          <w:noProof/>
          <w:szCs w:val="22"/>
          <w:lang w:val="en-IE" w:eastAsia="en-US"/>
        </w:rPr>
        <w:t xml:space="preserve"> incorporates very few of their recommendations</w:t>
      </w:r>
      <w:r w:rsidRPr="003D13B0">
        <w:rPr>
          <w:rFonts w:eastAsiaTheme="minorHAnsi" w:cstheme="minorBidi"/>
          <w:noProof/>
          <w:szCs w:val="22"/>
          <w:vertAlign w:val="superscript"/>
          <w:lang w:val="en-IE" w:eastAsia="en-US"/>
        </w:rPr>
        <w:footnoteReference w:id="197"/>
      </w:r>
      <w:r w:rsidRPr="003D13B0">
        <w:rPr>
          <w:rFonts w:eastAsiaTheme="minorHAnsi" w:cstheme="minorBidi"/>
          <w:noProof/>
          <w:szCs w:val="22"/>
          <w:lang w:val="en-IE" w:eastAsia="en-US"/>
        </w:rPr>
        <w:t>. CSOs also raise concern that legislation simplifying certain procedures for their functioning</w:t>
      </w:r>
      <w:r w:rsidRPr="003D13B0">
        <w:rPr>
          <w:rFonts w:eastAsiaTheme="minorHAnsi" w:cstheme="minorBidi"/>
          <w:noProof/>
          <w:szCs w:val="24"/>
          <w:vertAlign w:val="superscript"/>
          <w:lang w:val="en-IE" w:eastAsia="en-US"/>
        </w:rPr>
        <w:t xml:space="preserve"> </w:t>
      </w:r>
      <w:r w:rsidRPr="003D13B0">
        <w:rPr>
          <w:rFonts w:eastAsiaTheme="minorHAnsi" w:cstheme="minorBidi"/>
          <w:noProof/>
          <w:szCs w:val="22"/>
          <w:lang w:val="en-IE" w:eastAsia="en-US"/>
        </w:rPr>
        <w:t>is stalled in the Chamber of Deputies, and that the draft law to amend the law governing the right to peaceful assembly, is pending in Parliament since 2021</w:t>
      </w:r>
      <w:r w:rsidRPr="003D13B0">
        <w:rPr>
          <w:rFonts w:eastAsiaTheme="minorHAnsi" w:cstheme="minorBidi"/>
          <w:noProof/>
          <w:szCs w:val="22"/>
          <w:vertAlign w:val="superscript"/>
          <w:lang w:val="en-IE" w:eastAsia="en-US"/>
        </w:rPr>
        <w:footnoteReference w:id="198"/>
      </w:r>
      <w:r w:rsidRPr="003D13B0">
        <w:rPr>
          <w:rFonts w:eastAsiaTheme="minorHAnsi" w:cstheme="minorBidi"/>
          <w:noProof/>
          <w:szCs w:val="22"/>
          <w:lang w:val="en-IE" w:eastAsia="en-US"/>
        </w:rPr>
        <w:t>. In February, the Superior Council of Magistracy</w:t>
      </w:r>
      <w:r w:rsidR="00F74DD1">
        <w:rPr>
          <w:rFonts w:eastAsiaTheme="minorHAnsi" w:cstheme="minorBidi"/>
          <w:noProof/>
          <w:szCs w:val="22"/>
          <w:lang w:val="en-IE" w:eastAsia="en-US"/>
        </w:rPr>
        <w:t xml:space="preserve"> (SCM)</w:t>
      </w:r>
      <w:r w:rsidRPr="003D13B0">
        <w:rPr>
          <w:rFonts w:eastAsiaTheme="minorHAnsi" w:cstheme="minorBidi"/>
          <w:noProof/>
          <w:szCs w:val="22"/>
          <w:lang w:val="en-IE" w:eastAsia="en-US"/>
        </w:rPr>
        <w:t xml:space="preserve"> proposed, as part of discussions on the revision of the Code of Administrative Procedures, that CSOs could be created and dissolved through administrative decisions, and not through court orders as is currently the case, thereby possibly weakening oversight</w:t>
      </w:r>
      <w:r w:rsidRPr="003D13B0">
        <w:rPr>
          <w:rFonts w:eastAsiaTheme="minorHAnsi" w:cstheme="minorBidi"/>
          <w:noProof/>
          <w:szCs w:val="22"/>
          <w:vertAlign w:val="superscript"/>
          <w:lang w:val="en-IE" w:eastAsia="en-US"/>
        </w:rPr>
        <w:footnoteReference w:id="199"/>
      </w:r>
      <w:r w:rsidR="00927FD3">
        <w:rPr>
          <w:rFonts w:eastAsiaTheme="minorHAnsi" w:cstheme="minorBidi"/>
          <w:noProof/>
          <w:szCs w:val="22"/>
          <w:lang w:val="en-IE" w:eastAsia="en-US"/>
        </w:rPr>
        <w:t>.</w:t>
      </w:r>
      <w:r w:rsidR="00AE7821" w:rsidRPr="00AE7821">
        <w:rPr>
          <w:rFonts w:eastAsiaTheme="minorHAnsi" w:cstheme="minorBidi"/>
          <w:noProof/>
          <w:szCs w:val="22"/>
          <w:lang w:val="en-IE" w:eastAsia="en-US"/>
        </w:rPr>
        <w:t xml:space="preserve"> </w:t>
      </w:r>
      <w:r w:rsidRPr="003D13B0">
        <w:rPr>
          <w:rFonts w:eastAsiaTheme="minorHAnsi" w:cstheme="minorBidi"/>
          <w:noProof/>
          <w:szCs w:val="22"/>
          <w:lang w:val="en-IE" w:eastAsia="en-US"/>
        </w:rPr>
        <w:t>The draft amendments would also include CSOs in the scope of the Code, subjecting them to the same obligations as public authorities in terms of access to information</w:t>
      </w:r>
      <w:r w:rsidRPr="003D13B0">
        <w:rPr>
          <w:rFonts w:eastAsiaTheme="minorHAnsi" w:cstheme="minorBidi"/>
          <w:noProof/>
          <w:szCs w:val="22"/>
          <w:vertAlign w:val="superscript"/>
          <w:lang w:val="en-IE" w:eastAsia="en-US"/>
        </w:rPr>
        <w:footnoteReference w:id="200"/>
      </w:r>
      <w:r w:rsidRPr="003D13B0">
        <w:rPr>
          <w:rFonts w:eastAsiaTheme="minorHAnsi" w:cstheme="minorBidi"/>
          <w:noProof/>
          <w:szCs w:val="22"/>
          <w:lang w:val="en-IE" w:eastAsia="en-US"/>
        </w:rPr>
        <w:t xml:space="preserve">. </w:t>
      </w:r>
      <w:bookmarkStart w:id="7" w:name="_Hlk225502800"/>
      <w:r w:rsidRPr="003D13B0">
        <w:rPr>
          <w:rFonts w:eastAsiaTheme="minorHAnsi" w:cstheme="minorBidi"/>
          <w:noProof/>
          <w:szCs w:val="22"/>
          <w:lang w:val="en-IE" w:eastAsia="en-US"/>
        </w:rPr>
        <w:t>In May, the Romanian Senate voted on a draft legislation</w:t>
      </w:r>
      <w:r w:rsidRPr="003D13B0">
        <w:rPr>
          <w:rFonts w:eastAsiaTheme="minorHAnsi" w:cstheme="minorBidi"/>
          <w:noProof/>
          <w:szCs w:val="22"/>
          <w:vertAlign w:val="superscript"/>
          <w:lang w:val="en-IE" w:eastAsia="en-US"/>
        </w:rPr>
        <w:footnoteReference w:id="201"/>
      </w:r>
      <w:r w:rsidRPr="003D13B0">
        <w:rPr>
          <w:rFonts w:eastAsiaTheme="minorHAnsi" w:cstheme="minorBidi"/>
          <w:noProof/>
          <w:szCs w:val="22"/>
          <w:lang w:val="en-IE" w:eastAsia="en-US"/>
        </w:rPr>
        <w:t>, which, if adopted, would impose a general obligation on associations and foundations</w:t>
      </w:r>
      <w:r w:rsidR="00705105">
        <w:rPr>
          <w:rFonts w:eastAsiaTheme="minorHAnsi" w:cstheme="minorBidi"/>
          <w:noProof/>
          <w:szCs w:val="22"/>
          <w:lang w:val="en-IE" w:eastAsia="en-US"/>
        </w:rPr>
        <w:t>, including media outlets,</w:t>
      </w:r>
      <w:r w:rsidRPr="003D13B0">
        <w:rPr>
          <w:rFonts w:eastAsiaTheme="minorHAnsi" w:cstheme="minorBidi"/>
          <w:noProof/>
          <w:szCs w:val="22"/>
          <w:lang w:val="en-IE" w:eastAsia="en-US"/>
        </w:rPr>
        <w:t xml:space="preserve"> to publicly disclose the identity of their donors. </w:t>
      </w:r>
      <w:r w:rsidRPr="003D13B0">
        <w:rPr>
          <w:rFonts w:eastAsiaTheme="minorHAnsi" w:cstheme="minorBidi"/>
          <w:noProof/>
          <w:szCs w:val="22"/>
          <w:lang w:val="en-US" w:eastAsia="en-US"/>
        </w:rPr>
        <w:t>The draft text triggered important reactions, including from institutional committees and CSOs</w:t>
      </w:r>
      <w:r w:rsidRPr="003D13B0">
        <w:rPr>
          <w:rFonts w:eastAsiaTheme="minorHAnsi" w:cstheme="minorBidi"/>
          <w:noProof/>
          <w:szCs w:val="22"/>
          <w:vertAlign w:val="superscript"/>
          <w:lang w:val="en-IE" w:eastAsia="en-US"/>
        </w:rPr>
        <w:footnoteReference w:id="202"/>
      </w:r>
      <w:r w:rsidRPr="003D13B0">
        <w:rPr>
          <w:rFonts w:eastAsiaTheme="minorHAnsi" w:cstheme="minorBidi"/>
          <w:noProof/>
          <w:szCs w:val="22"/>
          <w:lang w:val="en-IE" w:eastAsia="en-US"/>
        </w:rPr>
        <w:t xml:space="preserve">. </w:t>
      </w:r>
      <w:r w:rsidR="005E2ED7" w:rsidRPr="0034581D">
        <w:rPr>
          <w:rFonts w:eastAsiaTheme="minorHAnsi" w:cstheme="minorBidi"/>
          <w:noProof/>
          <w:szCs w:val="22"/>
          <w:lang w:val="en-IE" w:eastAsia="en-US"/>
        </w:rPr>
        <w:t>In a decision of 9 June</w:t>
      </w:r>
      <w:r w:rsidR="00700F8B" w:rsidRPr="0034581D">
        <w:rPr>
          <w:rFonts w:eastAsiaTheme="minorHAnsi" w:cstheme="minorBidi"/>
          <w:noProof/>
          <w:szCs w:val="22"/>
          <w:lang w:val="en-IE" w:eastAsia="en-US"/>
        </w:rPr>
        <w:t xml:space="preserve"> 2026</w:t>
      </w:r>
      <w:r w:rsidR="005E2ED7" w:rsidRPr="0034581D">
        <w:rPr>
          <w:rFonts w:eastAsiaTheme="minorHAnsi" w:cstheme="minorBidi"/>
          <w:noProof/>
          <w:szCs w:val="22"/>
          <w:lang w:val="en-IE" w:eastAsia="en-US"/>
        </w:rPr>
        <w:t>, the SCM’s Judges Section</w:t>
      </w:r>
      <w:r w:rsidR="00EA7831">
        <w:rPr>
          <w:rStyle w:val="FootnoteReference"/>
          <w:rFonts w:eastAsiaTheme="minorHAnsi" w:cstheme="minorBidi"/>
          <w:noProof/>
          <w:szCs w:val="22"/>
          <w:lang w:val="en-IE" w:eastAsia="en-US"/>
        </w:rPr>
        <w:footnoteReference w:id="203"/>
      </w:r>
      <w:r w:rsidR="005E2ED7" w:rsidRPr="0034581D">
        <w:rPr>
          <w:rFonts w:eastAsiaTheme="minorHAnsi" w:cstheme="minorBidi"/>
          <w:noProof/>
          <w:szCs w:val="22"/>
          <w:lang w:val="en-IE" w:eastAsia="en-US"/>
        </w:rPr>
        <w:t xml:space="preserve"> considered that criticism expressed about the judiciary by some magistrates’ associations, media and CSOs would amount to attacks against judicial independence. A large number of CSOs and media outlets published an open letter, considering this decision as an abuse of authority and an attempt to intimidate and censor</w:t>
      </w:r>
      <w:r w:rsidR="00516C9F">
        <w:rPr>
          <w:rStyle w:val="FootnoteReference"/>
          <w:rFonts w:eastAsiaTheme="minorHAnsi" w:cstheme="minorBidi"/>
          <w:noProof/>
          <w:szCs w:val="22"/>
          <w:lang w:val="en-IE" w:eastAsia="en-US"/>
        </w:rPr>
        <w:footnoteReference w:id="204"/>
      </w:r>
      <w:r w:rsidR="005E2ED7" w:rsidRPr="0034581D">
        <w:rPr>
          <w:rFonts w:eastAsiaTheme="minorHAnsi" w:cstheme="minorBidi"/>
          <w:noProof/>
          <w:szCs w:val="22"/>
          <w:lang w:val="en-IE" w:eastAsia="en-US"/>
        </w:rPr>
        <w:t>.</w:t>
      </w:r>
      <w:r w:rsidR="002B2A56" w:rsidRPr="0034581D">
        <w:rPr>
          <w:rFonts w:eastAsiaTheme="minorHAnsi" w:cstheme="minorBidi"/>
          <w:noProof/>
          <w:szCs w:val="22"/>
          <w:lang w:val="en-IE" w:eastAsia="en-US"/>
        </w:rPr>
        <w:t xml:space="preserve"> </w:t>
      </w:r>
      <w:r w:rsidR="005E2ED7" w:rsidRPr="0034581D">
        <w:rPr>
          <w:rFonts w:eastAsiaTheme="minorHAnsi" w:cstheme="minorBidi"/>
          <w:noProof/>
          <w:szCs w:val="22"/>
          <w:lang w:val="en-IE" w:eastAsia="en-US"/>
        </w:rPr>
        <w:t xml:space="preserve">A group of CSOs is also challenging the </w:t>
      </w:r>
      <w:r w:rsidR="000E09AF" w:rsidRPr="0034581D">
        <w:rPr>
          <w:rFonts w:eastAsiaTheme="minorHAnsi" w:cstheme="minorBidi"/>
          <w:noProof/>
          <w:szCs w:val="22"/>
          <w:lang w:val="en-IE" w:eastAsia="en-US"/>
        </w:rPr>
        <w:t xml:space="preserve">decision </w:t>
      </w:r>
      <w:r w:rsidR="005E2ED7" w:rsidRPr="0034581D">
        <w:rPr>
          <w:rFonts w:eastAsiaTheme="minorHAnsi" w:cstheme="minorBidi"/>
          <w:noProof/>
          <w:szCs w:val="22"/>
          <w:lang w:val="en-IE" w:eastAsia="en-US"/>
        </w:rPr>
        <w:t>in court</w:t>
      </w:r>
      <w:r w:rsidR="00516C9F">
        <w:rPr>
          <w:rStyle w:val="FootnoteReference"/>
          <w:rFonts w:eastAsiaTheme="minorHAnsi" w:cstheme="minorBidi"/>
          <w:noProof/>
          <w:szCs w:val="22"/>
          <w:lang w:val="en-IE" w:eastAsia="en-US"/>
        </w:rPr>
        <w:footnoteReference w:id="205"/>
      </w:r>
      <w:r w:rsidR="006746ED" w:rsidRPr="0034581D">
        <w:rPr>
          <w:rFonts w:eastAsiaTheme="minorHAnsi" w:cstheme="minorBidi"/>
          <w:noProof/>
          <w:szCs w:val="22"/>
          <w:lang w:val="en-IE" w:eastAsia="en-US"/>
        </w:rPr>
        <w:t>.</w:t>
      </w:r>
      <w:r w:rsidR="002B2A56">
        <w:rPr>
          <w:rFonts w:eastAsiaTheme="minorHAnsi" w:cstheme="minorBidi"/>
          <w:noProof/>
          <w:szCs w:val="22"/>
          <w:lang w:val="en-IE" w:eastAsia="en-US"/>
        </w:rPr>
        <w:t xml:space="preserve"> </w:t>
      </w:r>
      <w:r w:rsidRPr="003D13B0">
        <w:rPr>
          <w:rFonts w:eastAsiaTheme="minorHAnsi" w:cstheme="minorBidi"/>
          <w:noProof/>
          <w:szCs w:val="22"/>
          <w:lang w:val="en-IE" w:eastAsia="en-US"/>
        </w:rPr>
        <w:t>Finally, a new law of 18 September 2025</w:t>
      </w:r>
      <w:r w:rsidRPr="003D13B0">
        <w:rPr>
          <w:rFonts w:eastAsiaTheme="minorHAnsi" w:cstheme="minorBidi"/>
          <w:noProof/>
          <w:szCs w:val="22"/>
          <w:vertAlign w:val="superscript"/>
          <w:lang w:val="en-IE" w:eastAsia="en-US"/>
        </w:rPr>
        <w:footnoteReference w:id="206"/>
      </w:r>
      <w:r w:rsidRPr="003D13B0">
        <w:rPr>
          <w:rFonts w:eastAsiaTheme="minorHAnsi" w:cstheme="minorBidi"/>
          <w:noProof/>
          <w:szCs w:val="22"/>
          <w:lang w:val="en-IE" w:eastAsia="en-US"/>
        </w:rPr>
        <w:t xml:space="preserve"> provides for a risk-based supervisory mechanism of the activity of associations and foundations, and for monitoring of the measures that associations and foundations need to implement in accordance with anti-money laundering and countering the financing of terrorism legislation. This has raised concerns as to the potential burden that would be placed on associations and foundations with lower capacity</w:t>
      </w:r>
      <w:r w:rsidRPr="003D13B0">
        <w:rPr>
          <w:rFonts w:eastAsiaTheme="minorHAnsi" w:cstheme="minorBidi"/>
          <w:noProof/>
          <w:szCs w:val="22"/>
          <w:vertAlign w:val="superscript"/>
          <w:lang w:val="en-IE" w:eastAsia="en-US"/>
        </w:rPr>
        <w:footnoteReference w:id="207"/>
      </w:r>
      <w:r w:rsidRPr="003D13B0">
        <w:rPr>
          <w:rFonts w:eastAsiaTheme="minorHAnsi" w:cstheme="minorBidi"/>
          <w:noProof/>
          <w:szCs w:val="22"/>
          <w:lang w:val="en-IE" w:eastAsia="en-US"/>
        </w:rPr>
        <w:t>.</w:t>
      </w:r>
    </w:p>
    <w:bookmarkEnd w:id="7"/>
    <w:p w14:paraId="5A9AC280" w14:textId="77777777" w:rsidR="003D13B0" w:rsidRPr="003D13B0" w:rsidRDefault="003D13B0" w:rsidP="003D13B0">
      <w:pPr>
        <w:pageBreakBefore/>
        <w:spacing w:after="120" w:line="264" w:lineRule="auto"/>
        <w:rPr>
          <w:b/>
          <w:noProof/>
          <w:szCs w:val="22"/>
          <w:lang w:val="en-IE" w:eastAsia="en-GB"/>
        </w:rPr>
      </w:pPr>
      <w:r w:rsidRPr="003D13B0">
        <w:rPr>
          <w:b/>
          <w:noProof/>
          <w:szCs w:val="22"/>
          <w:lang w:val="en-IE" w:eastAsia="en-GB"/>
        </w:rPr>
        <w:t>Annex I: List of sources in alphabetical order*</w:t>
      </w:r>
    </w:p>
    <w:p w14:paraId="7E248A34" w14:textId="4B530EB1" w:rsidR="003D13B0" w:rsidRPr="00147D43" w:rsidRDefault="003D13B0" w:rsidP="003D13B0">
      <w:pPr>
        <w:spacing w:after="120"/>
        <w:rPr>
          <w:i/>
          <w:noProof/>
          <w:sz w:val="22"/>
          <w:szCs w:val="22"/>
          <w:lang w:eastAsia="en-GB"/>
        </w:rPr>
      </w:pPr>
      <w:r w:rsidRPr="003D13B0">
        <w:rPr>
          <w:i/>
          <w:noProof/>
          <w:sz w:val="22"/>
          <w:szCs w:val="22"/>
          <w:lang w:val="en-IE" w:eastAsia="en-GB"/>
        </w:rPr>
        <w:t xml:space="preserve">* The list of contributions received in the context of the consultation for the 2026 Rule of Law Report can be found at </w:t>
      </w:r>
      <w:hyperlink r:id="rId22" w:history="1">
        <w:r w:rsidR="00320407" w:rsidRPr="00320407">
          <w:rPr>
            <w:rStyle w:val="Hyperlink"/>
            <w:i/>
            <w:noProof/>
            <w:sz w:val="22"/>
            <w:lang w:val="en-US" w:eastAsia="en-GB"/>
          </w:rPr>
          <w:t>https://commission.europa.eu/publications/2026-rule-law-report-targeted-stakeholder-consultation_en</w:t>
        </w:r>
      </w:hyperlink>
      <w:r w:rsidR="00320407">
        <w:rPr>
          <w:i/>
          <w:noProof/>
          <w:sz w:val="22"/>
          <w:lang w:val="en-US" w:eastAsia="en-GB"/>
        </w:rPr>
        <w:t>.</w:t>
      </w:r>
      <w:r w:rsidR="00320407" w:rsidRPr="00320407">
        <w:rPr>
          <w:i/>
          <w:noProof/>
          <w:sz w:val="22"/>
          <w:lang w:val="en-US" w:eastAsia="en-GB"/>
        </w:rPr>
        <w:t xml:space="preserve"> </w:t>
      </w:r>
    </w:p>
    <w:p w14:paraId="033B58EB" w14:textId="77777777" w:rsidR="003D13B0" w:rsidRPr="003D13B0" w:rsidRDefault="003D13B0" w:rsidP="003D13B0">
      <w:pPr>
        <w:spacing w:after="160" w:line="259" w:lineRule="auto"/>
        <w:jc w:val="left"/>
        <w:rPr>
          <w:rFonts w:eastAsiaTheme="minorHAnsi"/>
          <w:noProof/>
          <w:sz w:val="22"/>
          <w:szCs w:val="22"/>
          <w:lang w:val="en-US" w:eastAsia="en-US"/>
        </w:rPr>
      </w:pPr>
      <w:r w:rsidRPr="003D13B0">
        <w:rPr>
          <w:rFonts w:eastAsiaTheme="minorHAnsi"/>
          <w:noProof/>
          <w:sz w:val="22"/>
          <w:szCs w:val="22"/>
          <w:lang w:val="en-US" w:eastAsia="en-US"/>
        </w:rPr>
        <w:t xml:space="preserve">American Chamber Romania (2025), </w:t>
      </w:r>
      <w:r w:rsidRPr="003D13B0">
        <w:rPr>
          <w:rFonts w:eastAsiaTheme="minorHAnsi"/>
          <w:i/>
          <w:noProof/>
          <w:sz w:val="22"/>
          <w:szCs w:val="22"/>
          <w:lang w:val="en-US" w:eastAsia="en-US"/>
        </w:rPr>
        <w:t>American Chamber Romania</w:t>
      </w:r>
      <w:r w:rsidRPr="003D13B0">
        <w:rPr>
          <w:rFonts w:eastAsiaTheme="minorHAnsi"/>
          <w:noProof/>
          <w:sz w:val="22"/>
          <w:szCs w:val="22"/>
          <w:lang w:val="en-US" w:eastAsia="en-US"/>
        </w:rPr>
        <w:t xml:space="preserve"> </w:t>
      </w:r>
      <w:r w:rsidRPr="003D13B0">
        <w:rPr>
          <w:rFonts w:eastAsiaTheme="minorHAnsi"/>
          <w:i/>
          <w:noProof/>
          <w:sz w:val="22"/>
          <w:szCs w:val="22"/>
          <w:lang w:val="en-US" w:eastAsia="en-US"/>
        </w:rPr>
        <w:t xml:space="preserve">Business Climate Survey </w:t>
      </w:r>
      <w:hyperlink r:id="rId23" w:history="1">
        <w:r w:rsidRPr="003D13B0">
          <w:rPr>
            <w:rFonts w:eastAsiaTheme="minorHAnsi"/>
            <w:noProof/>
            <w:color w:val="0563C1" w:themeColor="hyperlink"/>
            <w:sz w:val="22"/>
            <w:szCs w:val="22"/>
            <w:u w:val="single"/>
            <w:lang w:val="en-US" w:eastAsia="en-US"/>
          </w:rPr>
          <w:t>https://www.amcham.ro/communication/amcham-press-releases/results-of-the-amcham-survey-on-romanias-investment-and-business-climate-in-2025---7th-edition</w:t>
        </w:r>
      </w:hyperlink>
      <w:r w:rsidRPr="003D13B0">
        <w:rPr>
          <w:rFonts w:eastAsiaTheme="minorHAnsi"/>
          <w:noProof/>
          <w:sz w:val="22"/>
          <w:szCs w:val="22"/>
          <w:lang w:val="en-US" w:eastAsia="en-US"/>
        </w:rPr>
        <w:t>.</w:t>
      </w:r>
    </w:p>
    <w:p w14:paraId="16CEEDDD"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 xml:space="preserve">Consultative Council of European Judges (2024), </w:t>
      </w:r>
      <w:r w:rsidRPr="003D13B0">
        <w:rPr>
          <w:i/>
          <w:iCs/>
          <w:noProof/>
          <w:sz w:val="22"/>
          <w:szCs w:val="22"/>
          <w:lang w:val="en-IE" w:eastAsia="en-GB"/>
        </w:rPr>
        <w:t>Opinion No. 27 on the disciplinary liability of judges.</w:t>
      </w:r>
    </w:p>
    <w:p w14:paraId="54AF734A" w14:textId="77777777" w:rsidR="006A1880" w:rsidRDefault="003D13B0" w:rsidP="006A1880">
      <w:pPr>
        <w:spacing w:after="160" w:line="259" w:lineRule="auto"/>
        <w:rPr>
          <w:rFonts w:eastAsiaTheme="minorHAnsi"/>
          <w:i/>
          <w:noProof/>
          <w:sz w:val="22"/>
          <w:szCs w:val="22"/>
          <w:lang w:val="en-IE" w:eastAsia="en-US"/>
        </w:rPr>
      </w:pPr>
      <w:r w:rsidRPr="003D13B0">
        <w:rPr>
          <w:rFonts w:eastAsiaTheme="minorHAnsi"/>
          <w:noProof/>
          <w:sz w:val="22"/>
          <w:szCs w:val="22"/>
          <w:lang w:val="en-IE" w:eastAsia="en-US"/>
        </w:rPr>
        <w:t xml:space="preserve">Centre for Public Innovation (2026), </w:t>
      </w:r>
      <w:r w:rsidRPr="003D13B0">
        <w:rPr>
          <w:rFonts w:eastAsiaTheme="minorHAnsi"/>
          <w:i/>
          <w:noProof/>
          <w:sz w:val="22"/>
          <w:szCs w:val="22"/>
          <w:lang w:val="en-IE" w:eastAsia="en-US"/>
        </w:rPr>
        <w:t>Input from Centre for Public Innovation for the 2026 Rule of Law Report.</w:t>
      </w:r>
    </w:p>
    <w:p w14:paraId="1B87FD7F" w14:textId="16339A34" w:rsidR="003D13B0" w:rsidRPr="003D13B0" w:rsidRDefault="003D13B0" w:rsidP="003D13B0">
      <w:pPr>
        <w:spacing w:after="160" w:line="259" w:lineRule="auto"/>
        <w:jc w:val="left"/>
        <w:rPr>
          <w:bCs/>
          <w:i/>
          <w:iCs/>
          <w:noProof/>
          <w:sz w:val="22"/>
          <w:szCs w:val="22"/>
          <w:lang w:val="en-IE" w:eastAsia="en-GB"/>
        </w:rPr>
      </w:pPr>
      <w:r w:rsidRPr="003D13B0">
        <w:rPr>
          <w:bCs/>
          <w:noProof/>
          <w:sz w:val="22"/>
          <w:szCs w:val="22"/>
          <w:lang w:val="en-IE" w:eastAsia="en-GB"/>
        </w:rPr>
        <w:t xml:space="preserve">Chamber of deputies (2026), </w:t>
      </w:r>
      <w:r w:rsidRPr="003D13B0">
        <w:rPr>
          <w:bCs/>
          <w:i/>
          <w:iCs/>
          <w:noProof/>
          <w:sz w:val="22"/>
          <w:szCs w:val="22"/>
          <w:lang w:val="en-IE" w:eastAsia="en-GB"/>
        </w:rPr>
        <w:t>Figures on emergency ordinances.</w:t>
      </w:r>
    </w:p>
    <w:p w14:paraId="4B14C32F" w14:textId="77777777" w:rsidR="003D13B0" w:rsidRPr="003D13B0" w:rsidRDefault="003D13B0" w:rsidP="003D13B0">
      <w:pPr>
        <w:spacing w:after="120"/>
        <w:rPr>
          <w:rFonts w:eastAsiaTheme="minorHAnsi"/>
          <w:noProof/>
          <w:color w:val="000000"/>
          <w:sz w:val="22"/>
          <w:szCs w:val="22"/>
          <w:lang w:eastAsia="en-US"/>
        </w:rPr>
      </w:pPr>
      <w:r w:rsidRPr="003D13B0">
        <w:rPr>
          <w:rFonts w:eastAsiaTheme="minorHAnsi"/>
          <w:noProof/>
          <w:color w:val="000000"/>
          <w:sz w:val="22"/>
          <w:szCs w:val="22"/>
          <w:lang w:eastAsia="en-US"/>
        </w:rPr>
        <w:t xml:space="preserve">Civicus, Monitor tracking civic space – Romania, </w:t>
      </w:r>
      <w:hyperlink r:id="rId24" w:history="1">
        <w:r w:rsidRPr="003D13B0">
          <w:rPr>
            <w:rFonts w:eastAsiaTheme="minorHAnsi"/>
            <w:noProof/>
            <w:color w:val="0563C1" w:themeColor="hyperlink"/>
            <w:sz w:val="22"/>
            <w:szCs w:val="22"/>
            <w:u w:val="single"/>
            <w:lang w:eastAsia="en-US"/>
          </w:rPr>
          <w:t>https://monitor.civicus.org/country/romania/</w:t>
        </w:r>
      </w:hyperlink>
      <w:r w:rsidRPr="003D13B0">
        <w:rPr>
          <w:rFonts w:eastAsiaTheme="minorHAnsi"/>
          <w:noProof/>
          <w:color w:val="000000"/>
          <w:sz w:val="22"/>
          <w:szCs w:val="22"/>
          <w:lang w:eastAsia="en-US"/>
        </w:rPr>
        <w:t>.</w:t>
      </w:r>
    </w:p>
    <w:p w14:paraId="7690B7F0" w14:textId="77777777" w:rsidR="003D13B0" w:rsidRPr="003D13B0" w:rsidRDefault="003D13B0" w:rsidP="003D13B0">
      <w:pPr>
        <w:spacing w:after="120"/>
        <w:rPr>
          <w:rFonts w:eastAsiaTheme="minorHAnsi"/>
          <w:noProof/>
          <w:sz w:val="22"/>
          <w:szCs w:val="22"/>
          <w:lang w:eastAsia="en-US"/>
        </w:rPr>
      </w:pPr>
      <w:r w:rsidRPr="003D13B0">
        <w:rPr>
          <w:rFonts w:eastAsiaTheme="minorHAnsi"/>
          <w:noProof/>
          <w:sz w:val="22"/>
          <w:szCs w:val="22"/>
          <w:lang w:eastAsia="en-US"/>
        </w:rPr>
        <w:t xml:space="preserve">Cluj Just, </w:t>
      </w:r>
      <w:hyperlink r:id="rId25" w:history="1">
        <w:r w:rsidRPr="003D13B0">
          <w:rPr>
            <w:rFonts w:eastAsiaTheme="minorHAnsi"/>
            <w:noProof/>
            <w:color w:val="0563C1" w:themeColor="hyperlink"/>
            <w:sz w:val="22"/>
            <w:szCs w:val="22"/>
            <w:u w:val="single"/>
            <w:lang w:eastAsia="en-US"/>
          </w:rPr>
          <w:t>https://www.clujust.ro/procurorul-sandu-din-csm-constat-o-situatie-ingrijoratoare-probele-sunt-anulate-pe-banda-rulanta/</w:t>
        </w:r>
      </w:hyperlink>
      <w:r w:rsidRPr="003D13B0">
        <w:rPr>
          <w:rFonts w:eastAsiaTheme="minorHAnsi"/>
          <w:noProof/>
          <w:sz w:val="22"/>
          <w:szCs w:val="22"/>
          <w:lang w:eastAsia="en-US"/>
        </w:rPr>
        <w:t>.</w:t>
      </w:r>
    </w:p>
    <w:p w14:paraId="28ED7889" w14:textId="77777777" w:rsidR="003D13B0" w:rsidRPr="003D13B0" w:rsidRDefault="003D13B0" w:rsidP="003D13B0">
      <w:pPr>
        <w:spacing w:after="120"/>
        <w:rPr>
          <w:rFonts w:eastAsiaTheme="minorHAnsi"/>
          <w:i/>
          <w:noProof/>
          <w:sz w:val="22"/>
          <w:szCs w:val="22"/>
          <w:lang w:val="en-US" w:eastAsia="en-US"/>
        </w:rPr>
      </w:pPr>
      <w:r w:rsidRPr="003D13B0">
        <w:rPr>
          <w:rFonts w:eastAsiaTheme="minorHAnsi"/>
          <w:noProof/>
          <w:sz w:val="22"/>
          <w:szCs w:val="22"/>
          <w:lang w:val="en-US" w:eastAsia="en-US"/>
        </w:rPr>
        <w:t xml:space="preserve">CNIPMMR and Romanian Business Leaders (2026), </w:t>
      </w:r>
      <w:r w:rsidRPr="003D13B0">
        <w:rPr>
          <w:rFonts w:eastAsiaTheme="minorHAnsi"/>
          <w:i/>
          <w:noProof/>
          <w:sz w:val="22"/>
          <w:szCs w:val="22"/>
          <w:lang w:val="en-US" w:eastAsia="en-US"/>
        </w:rPr>
        <w:t>Input from CNIPMMR and Romanian Business Leaders for the</w:t>
      </w:r>
      <w:r w:rsidRPr="003D13B0">
        <w:rPr>
          <w:rFonts w:eastAsiaTheme="minorHAnsi"/>
          <w:noProof/>
          <w:sz w:val="22"/>
          <w:szCs w:val="22"/>
          <w:lang w:val="en-US" w:eastAsia="en-US"/>
        </w:rPr>
        <w:t xml:space="preserve"> </w:t>
      </w:r>
      <w:r w:rsidRPr="003D13B0">
        <w:rPr>
          <w:rFonts w:eastAsiaTheme="minorHAnsi"/>
          <w:i/>
          <w:noProof/>
          <w:sz w:val="22"/>
          <w:szCs w:val="22"/>
          <w:lang w:val="en-US" w:eastAsia="en-US"/>
        </w:rPr>
        <w:t>European Semester.</w:t>
      </w:r>
    </w:p>
    <w:p w14:paraId="3935ED79" w14:textId="47F45ABA"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Coalition NGOs for Citizens (2025), </w:t>
      </w:r>
      <w:hyperlink r:id="rId26" w:history="1">
        <w:r w:rsidRPr="003D13B0">
          <w:rPr>
            <w:rFonts w:eastAsiaTheme="minorHAnsi"/>
            <w:i/>
            <w:noProof/>
            <w:color w:val="0563C1" w:themeColor="hyperlink"/>
            <w:sz w:val="22"/>
            <w:szCs w:val="22"/>
            <w:u w:val="single"/>
            <w:lang w:val="en-US" w:eastAsia="en-US"/>
          </w:rPr>
          <w:t>The State of Democracy 2025</w:t>
        </w:r>
      </w:hyperlink>
      <w:r w:rsidRPr="003D13B0">
        <w:rPr>
          <w:rFonts w:eastAsiaTheme="minorHAnsi"/>
          <w:noProof/>
          <w:sz w:val="22"/>
          <w:szCs w:val="22"/>
          <w:lang w:val="en-US" w:eastAsia="en-US"/>
        </w:rPr>
        <w:t>.</w:t>
      </w:r>
    </w:p>
    <w:p w14:paraId="64E3FC4B" w14:textId="77777777" w:rsidR="003D13B0" w:rsidRPr="003D13B0" w:rsidRDefault="003D13B0" w:rsidP="003D13B0">
      <w:pPr>
        <w:spacing w:after="120"/>
        <w:rPr>
          <w:i/>
          <w:noProof/>
          <w:sz w:val="22"/>
          <w:szCs w:val="22"/>
          <w:lang w:val="en-US" w:eastAsia="en-GB"/>
        </w:rPr>
      </w:pPr>
      <w:r w:rsidRPr="003D13B0">
        <w:rPr>
          <w:noProof/>
          <w:sz w:val="22"/>
          <w:szCs w:val="22"/>
          <w:lang w:val="en-US" w:eastAsia="en-GB"/>
        </w:rPr>
        <w:t xml:space="preserve">Concordia and Romanian Business Leaders (2026), </w:t>
      </w:r>
      <w:r w:rsidRPr="003D13B0">
        <w:rPr>
          <w:i/>
          <w:noProof/>
          <w:sz w:val="22"/>
          <w:szCs w:val="22"/>
          <w:lang w:val="en-US" w:eastAsia="en-GB"/>
        </w:rPr>
        <w:t>Input from Concordia and Romanian Business Leaders for the 2026 Rule of Law Report.</w:t>
      </w:r>
    </w:p>
    <w:p w14:paraId="1952B213" w14:textId="77777777" w:rsidR="003D13B0" w:rsidRPr="003D13B0" w:rsidRDefault="003D13B0" w:rsidP="003D13B0">
      <w:pPr>
        <w:spacing w:after="120"/>
        <w:rPr>
          <w:i/>
          <w:noProof/>
          <w:sz w:val="22"/>
          <w:szCs w:val="22"/>
          <w:lang w:val="en-IE" w:eastAsia="en-GB"/>
        </w:rPr>
      </w:pPr>
      <w:r w:rsidRPr="003D13B0">
        <w:rPr>
          <w:noProof/>
          <w:sz w:val="22"/>
          <w:szCs w:val="22"/>
          <w:lang w:val="en-IE" w:eastAsia="en-GB"/>
        </w:rPr>
        <w:t>Committee of Ministers of the Council of Europe</w:t>
      </w:r>
      <w:r w:rsidRPr="003D13B0">
        <w:rPr>
          <w:i/>
          <w:iCs/>
          <w:noProof/>
          <w:sz w:val="22"/>
          <w:szCs w:val="22"/>
          <w:lang w:val="en-IE" w:eastAsia="en-GB"/>
        </w:rPr>
        <w:t xml:space="preserve">, </w:t>
      </w:r>
      <w:r w:rsidRPr="003D13B0">
        <w:rPr>
          <w:i/>
          <w:noProof/>
          <w:sz w:val="22"/>
          <w:szCs w:val="22"/>
          <w:lang w:val="en-IE" w:eastAsia="en-GB"/>
        </w:rPr>
        <w:t xml:space="preserve">Romania, Country Factsheet on the Supervision of the Execution of Judgments and Decisions of the European Court of Human Rights, updated 18 December 2025, </w:t>
      </w:r>
      <w:hyperlink r:id="rId27" w:history="1">
        <w:r w:rsidRPr="003D13B0">
          <w:rPr>
            <w:i/>
            <w:noProof/>
            <w:color w:val="0563C1" w:themeColor="hyperlink"/>
            <w:sz w:val="22"/>
            <w:szCs w:val="22"/>
            <w:u w:val="single"/>
            <w:lang w:val="en-IE" w:eastAsia="en-GB"/>
          </w:rPr>
          <w:t>https://rm.coe.int/romania-eng/488029df7f</w:t>
        </w:r>
      </w:hyperlink>
      <w:r w:rsidRPr="003D13B0">
        <w:rPr>
          <w:i/>
          <w:noProof/>
          <w:sz w:val="22"/>
          <w:szCs w:val="22"/>
          <w:lang w:val="en-IE" w:eastAsia="en-GB"/>
        </w:rPr>
        <w:t xml:space="preserve"> </w:t>
      </w:r>
    </w:p>
    <w:p w14:paraId="14863ACD" w14:textId="77777777" w:rsidR="003D13B0" w:rsidRPr="003D13B0" w:rsidRDefault="003D13B0" w:rsidP="003D13B0">
      <w:pPr>
        <w:spacing w:after="120"/>
        <w:rPr>
          <w:i/>
          <w:noProof/>
          <w:sz w:val="22"/>
          <w:szCs w:val="22"/>
          <w:lang w:val="en-IE" w:eastAsia="en-GB"/>
        </w:rPr>
      </w:pPr>
      <w:r w:rsidRPr="003D13B0">
        <w:rPr>
          <w:noProof/>
          <w:sz w:val="22"/>
          <w:szCs w:val="22"/>
          <w:lang w:eastAsia="en-GB"/>
        </w:rPr>
        <w:t xml:space="preserve">Council of Europe (2026), </w:t>
      </w:r>
      <w:r w:rsidRPr="003D13B0">
        <w:rPr>
          <w:i/>
          <w:iCs/>
          <w:noProof/>
          <w:sz w:val="22"/>
          <w:szCs w:val="22"/>
          <w:lang w:eastAsia="en-GB"/>
        </w:rPr>
        <w:t>Supervision of the execution of judgments decisions of the European Court of Human Rights – 19th Annual Report of the Committee of Ministers – 2025,</w:t>
      </w:r>
      <w:r w:rsidRPr="003D13B0">
        <w:rPr>
          <w:noProof/>
          <w:sz w:val="22"/>
          <w:szCs w:val="22"/>
          <w:lang w:eastAsia="en-GB"/>
        </w:rPr>
        <w:t xml:space="preserve"> </w:t>
      </w:r>
      <w:hyperlink r:id="rId28" w:history="1">
        <w:r w:rsidRPr="003D13B0">
          <w:rPr>
            <w:noProof/>
            <w:color w:val="0563C1" w:themeColor="hyperlink"/>
            <w:sz w:val="22"/>
            <w:szCs w:val="22"/>
            <w:u w:val="single"/>
            <w:lang w:val="en-IE" w:eastAsia="en-GB"/>
          </w:rPr>
          <w:t>https://rm.coe.int/2025-annual-report/48802b1633</w:t>
        </w:r>
      </w:hyperlink>
      <w:r w:rsidRPr="003D13B0">
        <w:rPr>
          <w:noProof/>
          <w:sz w:val="22"/>
          <w:szCs w:val="22"/>
          <w:lang w:val="en-IE" w:eastAsia="en-GB"/>
        </w:rPr>
        <w:t>.</w:t>
      </w:r>
    </w:p>
    <w:p w14:paraId="7C8A9147"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Council of Europe: Venice Commission (2021), CDL-AD(2021)043.</w:t>
      </w:r>
    </w:p>
    <w:p w14:paraId="6AF44395"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Council of Europe: Venice Commission (2022), CDL-PI(2022)005.</w:t>
      </w:r>
    </w:p>
    <w:p w14:paraId="37D18F75"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Council of Europe: Venice Commission (2023), CDL-AD(2023)015.</w:t>
      </w:r>
    </w:p>
    <w:p w14:paraId="7D795DBB"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 xml:space="preserve">Council of European Bars (CCBE) (2026), </w:t>
      </w:r>
      <w:r w:rsidRPr="003D13B0">
        <w:rPr>
          <w:i/>
          <w:iCs/>
          <w:noProof/>
          <w:sz w:val="22"/>
          <w:szCs w:val="22"/>
          <w:lang w:val="en-IE" w:eastAsia="en-GB"/>
        </w:rPr>
        <w:t>Input from the Council of European Bars for the 2026 Rule of Law Report.</w:t>
      </w:r>
    </w:p>
    <w:p w14:paraId="340DD428"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Court of Justice of the European Union, judgment of 6 October 2021, C-487/19, W.Z., para. 114.</w:t>
      </w:r>
    </w:p>
    <w:p w14:paraId="1190DAE0" w14:textId="77777777" w:rsidR="003D13B0" w:rsidRPr="003D13B0" w:rsidRDefault="003D13B0" w:rsidP="003D13B0">
      <w:pPr>
        <w:spacing w:after="120"/>
        <w:rPr>
          <w:rFonts w:eastAsiaTheme="minorHAnsi"/>
          <w:i/>
          <w:iCs/>
          <w:noProof/>
          <w:sz w:val="22"/>
          <w:szCs w:val="22"/>
          <w:lang w:val="en-US" w:eastAsia="en-US"/>
        </w:rPr>
      </w:pPr>
      <w:r w:rsidRPr="003D13B0">
        <w:rPr>
          <w:rFonts w:eastAsiaTheme="minorHAnsi"/>
          <w:noProof/>
          <w:sz w:val="22"/>
          <w:szCs w:val="22"/>
          <w:lang w:val="en-US" w:eastAsia="en-US"/>
        </w:rPr>
        <w:t xml:space="preserve">Directorate-General for Communication (2026), </w:t>
      </w:r>
      <w:r w:rsidRPr="003D13B0">
        <w:rPr>
          <w:rFonts w:eastAsiaTheme="minorHAnsi"/>
          <w:i/>
          <w:iCs/>
          <w:noProof/>
          <w:sz w:val="22"/>
          <w:szCs w:val="22"/>
          <w:lang w:val="en-US" w:eastAsia="en-US"/>
        </w:rPr>
        <w:t xml:space="preserve">Flash Eurobarometer 582 on Businesses’ attitudes towards corruption in the EU. </w:t>
      </w:r>
    </w:p>
    <w:p w14:paraId="7D297CC4" w14:textId="77777777" w:rsidR="003D13B0" w:rsidRPr="003D13B0" w:rsidRDefault="003D13B0" w:rsidP="003D13B0">
      <w:pPr>
        <w:spacing w:after="120"/>
        <w:rPr>
          <w:rFonts w:eastAsiaTheme="minorHAnsi"/>
          <w:i/>
          <w:iCs/>
          <w:noProof/>
          <w:sz w:val="22"/>
          <w:szCs w:val="22"/>
          <w:lang w:val="en-IE" w:eastAsia="en-US"/>
        </w:rPr>
      </w:pPr>
      <w:r w:rsidRPr="003D13B0">
        <w:rPr>
          <w:rFonts w:eastAsiaTheme="minorHAnsi"/>
          <w:noProof/>
          <w:sz w:val="22"/>
          <w:szCs w:val="22"/>
          <w:lang w:val="en-US" w:eastAsia="en-US"/>
        </w:rPr>
        <w:t xml:space="preserve">Directorate-General for Communication (2026), </w:t>
      </w:r>
      <w:r w:rsidRPr="003D13B0">
        <w:rPr>
          <w:rFonts w:eastAsiaTheme="minorHAnsi"/>
          <w:i/>
          <w:iCs/>
          <w:noProof/>
          <w:sz w:val="22"/>
          <w:szCs w:val="22"/>
          <w:lang w:val="en-US" w:eastAsia="en-US"/>
        </w:rPr>
        <w:t>Special Eurobarometer 573 on Citizens’ attitudes towards corruption in the EU.</w:t>
      </w:r>
    </w:p>
    <w:p w14:paraId="3BA470A7" w14:textId="64BE1DC6" w:rsidR="003D13B0" w:rsidRPr="003D13B0" w:rsidRDefault="003D13B0" w:rsidP="003D13B0">
      <w:pPr>
        <w:spacing w:after="120"/>
        <w:rPr>
          <w:noProof/>
          <w:sz w:val="22"/>
          <w:szCs w:val="22"/>
          <w:lang w:val="en-IE" w:eastAsia="en-GB"/>
        </w:rPr>
      </w:pPr>
      <w:r w:rsidRPr="003D13B0">
        <w:rPr>
          <w:rFonts w:eastAsiaTheme="minorHAnsi"/>
          <w:noProof/>
          <w:sz w:val="22"/>
          <w:szCs w:val="22"/>
          <w:lang w:val="en-IE" w:eastAsia="en-US"/>
        </w:rPr>
        <w:t>ENNHRI (2026)</w:t>
      </w:r>
      <w:r w:rsidR="005F7539">
        <w:rPr>
          <w:rFonts w:eastAsiaTheme="minorHAnsi"/>
          <w:noProof/>
          <w:sz w:val="22"/>
          <w:szCs w:val="22"/>
          <w:lang w:val="en-IE" w:eastAsia="en-US"/>
        </w:rPr>
        <w:t xml:space="preserve">, </w:t>
      </w:r>
      <w:r w:rsidR="005F7539" w:rsidRPr="00AA3A16">
        <w:rPr>
          <w:i/>
          <w:iCs/>
          <w:noProof/>
          <w:sz w:val="22"/>
          <w:lang w:eastAsia="en-GB"/>
        </w:rPr>
        <w:t>State of the Rule of Law in Europe</w:t>
      </w:r>
      <w:r w:rsidR="005F7539">
        <w:rPr>
          <w:i/>
          <w:iCs/>
          <w:noProof/>
          <w:sz w:val="22"/>
          <w:lang w:eastAsia="en-GB"/>
        </w:rPr>
        <w:t>:</w:t>
      </w:r>
      <w:r w:rsidRPr="003D13B0">
        <w:rPr>
          <w:rFonts w:eastAsiaTheme="minorHAnsi"/>
          <w:noProof/>
          <w:sz w:val="22"/>
          <w:szCs w:val="22"/>
          <w:lang w:val="en-IE" w:eastAsia="en-US"/>
        </w:rPr>
        <w:t xml:space="preserve"> </w:t>
      </w:r>
      <w:r w:rsidRPr="003D13B0">
        <w:rPr>
          <w:rFonts w:eastAsiaTheme="minorHAnsi"/>
          <w:i/>
          <w:iCs/>
          <w:noProof/>
          <w:sz w:val="22"/>
          <w:szCs w:val="22"/>
          <w:lang w:val="en-IE" w:eastAsia="en-US"/>
        </w:rPr>
        <w:t xml:space="preserve">Romania country report, </w:t>
      </w:r>
      <w:r w:rsidR="001F70DF" w:rsidRPr="001F70DF">
        <w:rPr>
          <w:rFonts w:eastAsiaTheme="minorHAnsi"/>
          <w:i/>
          <w:iCs/>
          <w:noProof/>
          <w:sz w:val="22"/>
          <w:szCs w:val="22"/>
          <w:lang w:val="en-IE" w:eastAsia="en-US"/>
        </w:rPr>
        <w:t>https://rule-of-law.ennhri.org/export?country%5B0%5D=42&amp;year%5B0%5D=2026</w:t>
      </w:r>
    </w:p>
    <w:p w14:paraId="2E827D7A"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 xml:space="preserve">EU Fundamental Rights Agency (2026), </w:t>
      </w:r>
      <w:r w:rsidRPr="003D13B0">
        <w:rPr>
          <w:i/>
          <w:iCs/>
          <w:noProof/>
          <w:sz w:val="22"/>
          <w:szCs w:val="22"/>
          <w:lang w:val="en-IE" w:eastAsia="en-GB"/>
        </w:rPr>
        <w:t>Civic Space in the EU in 2025.</w:t>
      </w:r>
    </w:p>
    <w:p w14:paraId="5F147DBF" w14:textId="77777777" w:rsidR="003D13B0" w:rsidRPr="003D13B0" w:rsidRDefault="003D13B0" w:rsidP="003D13B0">
      <w:pPr>
        <w:spacing w:after="120"/>
        <w:rPr>
          <w:noProof/>
          <w:sz w:val="22"/>
          <w:szCs w:val="22"/>
          <w:lang w:val="en-IE" w:eastAsia="en-GB"/>
        </w:rPr>
      </w:pPr>
      <w:r w:rsidRPr="003D13B0">
        <w:rPr>
          <w:noProof/>
          <w:sz w:val="22"/>
          <w:szCs w:val="22"/>
          <w:lang w:val="en-US" w:eastAsia="en-GB"/>
        </w:rPr>
        <w:t xml:space="preserve">European Commission (2025), </w:t>
      </w:r>
      <w:r w:rsidRPr="003D13B0">
        <w:rPr>
          <w:i/>
          <w:iCs/>
          <w:noProof/>
          <w:sz w:val="22"/>
          <w:szCs w:val="22"/>
          <w:lang w:val="en-US" w:eastAsia="en-GB"/>
        </w:rPr>
        <w:t>2025 Rule of Law Report Country Chapter on the rule of law situation in Romania</w:t>
      </w:r>
      <w:r w:rsidRPr="003D13B0">
        <w:rPr>
          <w:noProof/>
          <w:sz w:val="22"/>
          <w:szCs w:val="22"/>
          <w:lang w:val="en-US" w:eastAsia="en-GB"/>
        </w:rPr>
        <w:t>.</w:t>
      </w:r>
    </w:p>
    <w:p w14:paraId="3028ECB8" w14:textId="77777777" w:rsidR="003D13B0" w:rsidRDefault="003D13B0" w:rsidP="003D13B0">
      <w:pPr>
        <w:spacing w:after="120"/>
        <w:rPr>
          <w:noProof/>
          <w:sz w:val="22"/>
          <w:szCs w:val="22"/>
          <w:lang w:eastAsia="en-GB"/>
        </w:rPr>
      </w:pPr>
      <w:r w:rsidRPr="003D13B0">
        <w:rPr>
          <w:noProof/>
          <w:sz w:val="22"/>
          <w:szCs w:val="22"/>
          <w:lang w:eastAsia="en-GB"/>
        </w:rPr>
        <w:t xml:space="preserve">European Commission (2026), </w:t>
      </w:r>
      <w:r w:rsidRPr="003D13B0">
        <w:rPr>
          <w:i/>
          <w:iCs/>
          <w:noProof/>
          <w:sz w:val="22"/>
          <w:szCs w:val="22"/>
          <w:lang w:eastAsia="en-GB"/>
        </w:rPr>
        <w:t>EU Justice Scoreboard</w:t>
      </w:r>
      <w:r w:rsidRPr="003D13B0">
        <w:rPr>
          <w:noProof/>
          <w:sz w:val="22"/>
          <w:szCs w:val="22"/>
          <w:lang w:eastAsia="en-GB"/>
        </w:rPr>
        <w:t xml:space="preserve">. </w:t>
      </w:r>
    </w:p>
    <w:p w14:paraId="67495FDD" w14:textId="126A3B13" w:rsidR="00EF0E4A" w:rsidRPr="003D13B0" w:rsidRDefault="00EF0E4A" w:rsidP="003D13B0">
      <w:pPr>
        <w:spacing w:after="120"/>
        <w:rPr>
          <w:noProof/>
          <w:sz w:val="22"/>
          <w:szCs w:val="22"/>
          <w:lang w:eastAsia="en-GB"/>
        </w:rPr>
      </w:pPr>
      <w:r>
        <w:rPr>
          <w:noProof/>
          <w:sz w:val="22"/>
          <w:szCs w:val="22"/>
          <w:lang w:eastAsia="en-GB"/>
        </w:rPr>
        <w:t>European Commission</w:t>
      </w:r>
      <w:r w:rsidR="004D50A1">
        <w:rPr>
          <w:noProof/>
          <w:sz w:val="22"/>
          <w:szCs w:val="22"/>
          <w:lang w:eastAsia="en-GB"/>
        </w:rPr>
        <w:t xml:space="preserve"> (2026), Recommendation for a Council Recommendation </w:t>
      </w:r>
      <w:r w:rsidR="004D50A1" w:rsidRPr="004D50A1">
        <w:rPr>
          <w:noProof/>
          <w:sz w:val="22"/>
          <w:szCs w:val="22"/>
          <w:lang w:eastAsia="en-GB"/>
        </w:rPr>
        <w:t>on the economic, social, employment, structural and budgetary policies of Romania</w:t>
      </w:r>
      <w:r w:rsidR="004D50A1">
        <w:rPr>
          <w:noProof/>
          <w:sz w:val="22"/>
          <w:szCs w:val="22"/>
          <w:lang w:eastAsia="en-GB"/>
        </w:rPr>
        <w:t xml:space="preserve">, </w:t>
      </w:r>
      <w:r w:rsidR="004D50A1" w:rsidRPr="004D50A1">
        <w:rPr>
          <w:noProof/>
          <w:sz w:val="22"/>
          <w:szCs w:val="22"/>
          <w:lang w:eastAsia="en-GB"/>
        </w:rPr>
        <w:t>COM(2026) 223 final</w:t>
      </w:r>
    </w:p>
    <w:p w14:paraId="2D0E0AA3"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 xml:space="preserve">European Court of Human Rights, Judgment of 15 December 2025, </w:t>
      </w:r>
      <w:r w:rsidRPr="003D13B0">
        <w:rPr>
          <w:i/>
          <w:iCs/>
          <w:noProof/>
          <w:sz w:val="22"/>
          <w:szCs w:val="22"/>
          <w:lang w:val="en-IE" w:eastAsia="en-GB"/>
        </w:rPr>
        <w:t xml:space="preserve">Danilet v. Romania, </w:t>
      </w:r>
      <w:r w:rsidRPr="003D13B0">
        <w:rPr>
          <w:noProof/>
          <w:sz w:val="22"/>
          <w:szCs w:val="22"/>
          <w:lang w:val="en-IE" w:eastAsia="en-GB"/>
        </w:rPr>
        <w:t>16915/21.</w:t>
      </w:r>
    </w:p>
    <w:p w14:paraId="0EBAE71C" w14:textId="77777777" w:rsidR="003D13B0" w:rsidRPr="003D13B0" w:rsidRDefault="003D13B0" w:rsidP="003D13B0">
      <w:pPr>
        <w:spacing w:after="120"/>
        <w:rPr>
          <w:noProof/>
          <w:sz w:val="22"/>
          <w:szCs w:val="22"/>
          <w:lang w:val="en-IE" w:eastAsia="en-GB"/>
        </w:rPr>
      </w:pPr>
      <w:r w:rsidRPr="003D13B0">
        <w:rPr>
          <w:noProof/>
          <w:sz w:val="22"/>
          <w:szCs w:val="22"/>
          <w:lang w:eastAsia="en-GB"/>
        </w:rPr>
        <w:t xml:space="preserve">European Implementation Network (2026), </w:t>
      </w:r>
      <w:r w:rsidRPr="003D13B0">
        <w:rPr>
          <w:i/>
          <w:iCs/>
          <w:noProof/>
          <w:sz w:val="22"/>
          <w:szCs w:val="22"/>
          <w:lang w:eastAsia="en-GB"/>
        </w:rPr>
        <w:t>Input from the European Implementation Network for the 2026 Rule of Law Report</w:t>
      </w:r>
      <w:r w:rsidRPr="003D13B0">
        <w:rPr>
          <w:noProof/>
          <w:sz w:val="22"/>
          <w:szCs w:val="22"/>
          <w:lang w:val="en-IE" w:eastAsia="en-GB"/>
        </w:rPr>
        <w:t>.</w:t>
      </w:r>
    </w:p>
    <w:p w14:paraId="3340D31F" w14:textId="77777777" w:rsidR="003D13B0" w:rsidRPr="003D13B0" w:rsidRDefault="003D13B0" w:rsidP="003D13B0">
      <w:pPr>
        <w:spacing w:after="160" w:line="259" w:lineRule="auto"/>
        <w:jc w:val="left"/>
        <w:rPr>
          <w:rFonts w:eastAsiaTheme="minorHAnsi"/>
          <w:i/>
          <w:noProof/>
          <w:sz w:val="22"/>
          <w:szCs w:val="22"/>
          <w:lang w:val="en-IE" w:eastAsia="en-US"/>
        </w:rPr>
      </w:pPr>
      <w:r w:rsidRPr="003D13B0">
        <w:rPr>
          <w:rFonts w:eastAsiaTheme="minorHAnsi"/>
          <w:noProof/>
          <w:sz w:val="22"/>
          <w:szCs w:val="22"/>
          <w:lang w:val="en-IE" w:eastAsia="en-US"/>
        </w:rPr>
        <w:t xml:space="preserve">European Network of National Human Rights Institutions (2026), </w:t>
      </w:r>
      <w:r w:rsidRPr="003D13B0">
        <w:rPr>
          <w:rFonts w:eastAsiaTheme="minorHAnsi"/>
          <w:i/>
          <w:noProof/>
          <w:sz w:val="22"/>
          <w:szCs w:val="22"/>
          <w:lang w:val="en-IE" w:eastAsia="en-US"/>
        </w:rPr>
        <w:t>Romania country report.</w:t>
      </w:r>
    </w:p>
    <w:p w14:paraId="58F01DB5"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 xml:space="preserve">European Public Prosecutor's Office (2026), </w:t>
      </w:r>
      <w:r w:rsidRPr="003D13B0">
        <w:rPr>
          <w:i/>
          <w:iCs/>
          <w:noProof/>
          <w:sz w:val="22"/>
          <w:szCs w:val="22"/>
          <w:lang w:val="en-IE" w:eastAsia="en-GB"/>
        </w:rPr>
        <w:t>European Public Prosecutor’s Office input for 2026 Rule of Law Report.</w:t>
      </w:r>
    </w:p>
    <w:p w14:paraId="0EB0939B" w14:textId="1D0FEF22" w:rsidR="003D13B0" w:rsidRPr="003D13B0" w:rsidRDefault="003D13B0" w:rsidP="00C2244F">
      <w:pPr>
        <w:spacing w:after="160" w:line="259" w:lineRule="auto"/>
        <w:rPr>
          <w:b/>
          <w:noProof/>
          <w:sz w:val="22"/>
          <w:szCs w:val="22"/>
          <w:lang w:val="en-IE" w:eastAsia="en-GB"/>
        </w:rPr>
      </w:pPr>
      <w:r w:rsidRPr="003D13B0">
        <w:rPr>
          <w:rFonts w:eastAsiaTheme="minorHAnsi"/>
          <w:noProof/>
          <w:sz w:val="22"/>
          <w:szCs w:val="22"/>
          <w:lang w:val="en-US" w:eastAsia="en-US"/>
        </w:rPr>
        <w:t xml:space="preserve">European Commission (2026), </w:t>
      </w:r>
      <w:r w:rsidR="00C85D8B" w:rsidRPr="00C2244F">
        <w:rPr>
          <w:rFonts w:eastAsiaTheme="minorHAnsi"/>
          <w:noProof/>
          <w:sz w:val="22"/>
          <w:szCs w:val="22"/>
          <w:lang w:val="en-US" w:eastAsia="en-US"/>
        </w:rPr>
        <w:t>Commission Staff Working Document,</w:t>
      </w:r>
      <w:r w:rsidR="00C85D8B">
        <w:rPr>
          <w:rFonts w:eastAsiaTheme="minorHAnsi"/>
          <w:i/>
          <w:iCs/>
          <w:noProof/>
          <w:sz w:val="22"/>
          <w:szCs w:val="22"/>
          <w:lang w:val="en-US" w:eastAsia="en-US"/>
        </w:rPr>
        <w:t xml:space="preserve"> 2026 Country Report – Romania,</w:t>
      </w:r>
      <w:r w:rsidR="000348B2">
        <w:rPr>
          <w:rFonts w:eastAsiaTheme="minorHAnsi"/>
          <w:i/>
          <w:iCs/>
          <w:noProof/>
          <w:sz w:val="22"/>
          <w:szCs w:val="22"/>
          <w:lang w:val="en-US" w:eastAsia="en-US"/>
        </w:rPr>
        <w:t xml:space="preserve"> </w:t>
      </w:r>
      <w:r w:rsidR="000348B2" w:rsidRPr="00C2244F">
        <w:rPr>
          <w:rFonts w:eastAsiaTheme="minorHAnsi"/>
          <w:noProof/>
          <w:sz w:val="22"/>
          <w:szCs w:val="22"/>
          <w:lang w:val="en-US" w:eastAsia="en-US"/>
        </w:rPr>
        <w:t>SWD(2026) 223 final</w:t>
      </w:r>
      <w:r w:rsidR="000348B2">
        <w:rPr>
          <w:rFonts w:eastAsiaTheme="minorHAnsi"/>
          <w:i/>
          <w:iCs/>
          <w:noProof/>
          <w:sz w:val="22"/>
          <w:szCs w:val="22"/>
          <w:lang w:val="en-US" w:eastAsia="en-US"/>
        </w:rPr>
        <w:t>.</w:t>
      </w:r>
    </w:p>
    <w:p w14:paraId="271B5589" w14:textId="77777777" w:rsidR="003D13B0" w:rsidRPr="003D13B0" w:rsidRDefault="003D13B0" w:rsidP="003D13B0">
      <w:pPr>
        <w:spacing w:after="120"/>
        <w:rPr>
          <w:rFonts w:eastAsiaTheme="minorHAnsi"/>
          <w:i/>
          <w:noProof/>
          <w:sz w:val="22"/>
          <w:szCs w:val="22"/>
          <w:lang w:val="en-IE" w:eastAsia="en-US"/>
        </w:rPr>
      </w:pPr>
      <w:r w:rsidRPr="003D13B0">
        <w:rPr>
          <w:rFonts w:eastAsiaTheme="minorHAnsi"/>
          <w:noProof/>
          <w:sz w:val="22"/>
          <w:szCs w:val="22"/>
          <w:lang w:val="en-IE" w:eastAsia="en-US"/>
        </w:rPr>
        <w:t xml:space="preserve">Expert Forum (2026), </w:t>
      </w:r>
      <w:r w:rsidRPr="003D13B0">
        <w:rPr>
          <w:rFonts w:eastAsiaTheme="minorHAnsi"/>
          <w:i/>
          <w:noProof/>
          <w:sz w:val="22"/>
          <w:szCs w:val="22"/>
          <w:lang w:val="en-IE" w:eastAsia="en-US"/>
        </w:rPr>
        <w:t xml:space="preserve">Input from Expert Forum for the 2026 Rule of Law Report. </w:t>
      </w:r>
    </w:p>
    <w:p w14:paraId="5EAD3366" w14:textId="77777777" w:rsidR="003D13B0" w:rsidRPr="003D13B0" w:rsidRDefault="003D13B0" w:rsidP="00C2244F">
      <w:pPr>
        <w:spacing w:after="0" w:line="360" w:lineRule="auto"/>
        <w:ind w:left="284" w:hanging="284"/>
        <w:rPr>
          <w:rFonts w:eastAsiaTheme="minorHAnsi" w:cstheme="minorBidi"/>
          <w:i/>
          <w:iCs/>
          <w:noProof/>
          <w:sz w:val="20"/>
          <w:lang w:val="en-IE" w:eastAsia="en-US"/>
        </w:rPr>
      </w:pPr>
      <w:r w:rsidRPr="003D13B0">
        <w:rPr>
          <w:rFonts w:eastAsiaTheme="minorHAnsi" w:cstheme="minorBidi"/>
          <w:noProof/>
          <w:sz w:val="20"/>
          <w:lang w:val="en-IE" w:eastAsia="en-US"/>
        </w:rPr>
        <w:t xml:space="preserve">Expert Forum Report (2025), </w:t>
      </w:r>
      <w:r w:rsidRPr="003D13B0">
        <w:rPr>
          <w:rFonts w:eastAsiaTheme="minorHAnsi" w:cstheme="minorBidi"/>
          <w:i/>
          <w:iCs/>
          <w:noProof/>
          <w:sz w:val="20"/>
          <w:lang w:val="en-IE" w:eastAsia="en-US"/>
        </w:rPr>
        <w:t>Financing of political parties in 2025 and the need for urgent reform.</w:t>
      </w:r>
    </w:p>
    <w:p w14:paraId="3599A699" w14:textId="77777777" w:rsidR="003D13B0" w:rsidRDefault="003D13B0" w:rsidP="00C2244F">
      <w:pPr>
        <w:spacing w:after="0" w:line="360" w:lineRule="auto"/>
        <w:rPr>
          <w:rFonts w:eastAsiaTheme="minorHAnsi"/>
          <w:i/>
          <w:noProof/>
          <w:sz w:val="22"/>
          <w:szCs w:val="22"/>
          <w:lang w:val="en-IE" w:eastAsia="en-US"/>
        </w:rPr>
      </w:pPr>
      <w:r w:rsidRPr="003D13B0">
        <w:rPr>
          <w:rFonts w:eastAsiaTheme="minorHAnsi"/>
          <w:iCs/>
          <w:noProof/>
          <w:sz w:val="22"/>
          <w:szCs w:val="22"/>
          <w:lang w:val="en-IE" w:eastAsia="en-US"/>
        </w:rPr>
        <w:t xml:space="preserve">Expert Forum (2025), </w:t>
      </w:r>
      <w:r w:rsidRPr="003D13B0">
        <w:rPr>
          <w:rFonts w:eastAsiaTheme="minorHAnsi"/>
          <w:i/>
          <w:noProof/>
          <w:sz w:val="22"/>
          <w:szCs w:val="22"/>
          <w:lang w:val="en-IE" w:eastAsia="en-US"/>
        </w:rPr>
        <w:t>Priorities of Justice.</w:t>
      </w:r>
    </w:p>
    <w:p w14:paraId="49FBE052" w14:textId="1FA1CAED" w:rsidR="000A3AF1" w:rsidRDefault="000A3AF1" w:rsidP="00C2244F">
      <w:pPr>
        <w:spacing w:after="0" w:line="360" w:lineRule="auto"/>
        <w:rPr>
          <w:noProof/>
          <w:sz w:val="22"/>
          <w:szCs w:val="18"/>
        </w:rPr>
      </w:pPr>
      <w:r w:rsidRPr="00C2244F">
        <w:rPr>
          <w:noProof/>
          <w:sz w:val="22"/>
          <w:szCs w:val="18"/>
        </w:rPr>
        <w:t xml:space="preserve">Expert Forum, </w:t>
      </w:r>
      <w:r w:rsidRPr="00C2244F">
        <w:rPr>
          <w:i/>
          <w:iCs/>
          <w:noProof/>
          <w:sz w:val="22"/>
          <w:szCs w:val="18"/>
        </w:rPr>
        <w:t>Monitoring Report 2024, 8 September 2025</w:t>
      </w:r>
      <w:r w:rsidRPr="00C2244F">
        <w:rPr>
          <w:noProof/>
          <w:sz w:val="22"/>
          <w:szCs w:val="18"/>
        </w:rPr>
        <w:t xml:space="preserve">, </w:t>
      </w:r>
      <w:hyperlink r:id="rId29" w:history="1">
        <w:r w:rsidRPr="00C2244F">
          <w:rPr>
            <w:rStyle w:val="Hyperlink"/>
            <w:noProof/>
            <w:sz w:val="22"/>
            <w:szCs w:val="18"/>
          </w:rPr>
          <w:t>https://expertforum.ro/marii-finantatori-partide-2024/</w:t>
        </w:r>
      </w:hyperlink>
      <w:r w:rsidRPr="00C2244F">
        <w:rPr>
          <w:noProof/>
          <w:sz w:val="22"/>
          <w:szCs w:val="18"/>
        </w:rPr>
        <w:t>.</w:t>
      </w:r>
    </w:p>
    <w:p w14:paraId="6EF5AE05" w14:textId="6825800F" w:rsidR="006956D7" w:rsidRDefault="008F137E" w:rsidP="00461612">
      <w:pPr>
        <w:spacing w:after="0"/>
        <w:rPr>
          <w:noProof/>
          <w:sz w:val="22"/>
          <w:szCs w:val="18"/>
          <w:lang w:val="en-IE"/>
        </w:rPr>
      </w:pPr>
      <w:r w:rsidRPr="00C2244F">
        <w:rPr>
          <w:noProof/>
          <w:sz w:val="22"/>
          <w:szCs w:val="18"/>
          <w:lang w:val="en-IE"/>
        </w:rPr>
        <w:t>Expert Forum</w:t>
      </w:r>
      <w:r w:rsidR="00CE073C" w:rsidRPr="00C2244F">
        <w:rPr>
          <w:noProof/>
          <w:sz w:val="22"/>
          <w:szCs w:val="18"/>
          <w:lang w:val="en-IE"/>
        </w:rPr>
        <w:t xml:space="preserve"> (2026), „</w:t>
      </w:r>
      <w:r w:rsidR="00CE073C" w:rsidRPr="00C2244F">
        <w:rPr>
          <w:i/>
          <w:iCs/>
          <w:noProof/>
          <w:sz w:val="22"/>
          <w:szCs w:val="18"/>
          <w:lang w:val="en-IE"/>
        </w:rPr>
        <w:t>We call on the Parliament to responsibly elect the future president of the Permanent Electoral Authority“,</w:t>
      </w:r>
      <w:r w:rsidR="00CE073C" w:rsidRPr="00C2244F">
        <w:rPr>
          <w:noProof/>
          <w:sz w:val="22"/>
          <w:szCs w:val="18"/>
          <w:lang w:val="en-IE"/>
        </w:rPr>
        <w:t xml:space="preserve"> </w:t>
      </w:r>
      <w:hyperlink r:id="rId30" w:history="1">
        <w:r w:rsidR="00CE073C" w:rsidRPr="00C2244F">
          <w:rPr>
            <w:rStyle w:val="Hyperlink"/>
            <w:noProof/>
            <w:sz w:val="22"/>
            <w:szCs w:val="18"/>
            <w:lang w:val="en-IE"/>
          </w:rPr>
          <w:t>https://expertforum.ro/alegeti-noul-presedinte-aep-responsabil/</w:t>
        </w:r>
      </w:hyperlink>
      <w:r w:rsidR="006956D7" w:rsidRPr="00C2244F">
        <w:rPr>
          <w:noProof/>
          <w:sz w:val="22"/>
          <w:szCs w:val="18"/>
          <w:lang w:val="en-IE"/>
        </w:rPr>
        <w:t>.</w:t>
      </w:r>
    </w:p>
    <w:p w14:paraId="797A39E9" w14:textId="77777777" w:rsidR="00710B4A" w:rsidRPr="00C2244F" w:rsidRDefault="00710B4A" w:rsidP="00C2244F">
      <w:pPr>
        <w:spacing w:after="0"/>
        <w:rPr>
          <w:rFonts w:eastAsiaTheme="minorHAnsi"/>
          <w:iCs/>
          <w:noProof/>
          <w:sz w:val="18"/>
          <w:szCs w:val="18"/>
          <w:lang w:val="en-IE" w:eastAsia="en-US"/>
        </w:rPr>
      </w:pPr>
    </w:p>
    <w:p w14:paraId="62990D8D" w14:textId="77777777" w:rsidR="003D13B0" w:rsidRPr="003D13B0" w:rsidRDefault="003D13B0" w:rsidP="00C2244F">
      <w:pPr>
        <w:spacing w:after="120" w:line="360" w:lineRule="auto"/>
        <w:rPr>
          <w:rFonts w:eastAsiaTheme="minorHAnsi"/>
          <w:i/>
          <w:noProof/>
          <w:sz w:val="22"/>
          <w:szCs w:val="22"/>
          <w:lang w:val="en-US" w:eastAsia="en-US"/>
        </w:rPr>
      </w:pPr>
      <w:r w:rsidRPr="003D13B0">
        <w:rPr>
          <w:rFonts w:eastAsiaTheme="minorHAnsi"/>
          <w:noProof/>
          <w:sz w:val="22"/>
          <w:szCs w:val="22"/>
          <w:lang w:val="en-US" w:eastAsia="en-US"/>
        </w:rPr>
        <w:t xml:space="preserve">Civil Society Development Foundation (FDSC) (2026), </w:t>
      </w:r>
      <w:r w:rsidRPr="003D13B0">
        <w:rPr>
          <w:rFonts w:eastAsiaTheme="minorHAnsi"/>
          <w:i/>
          <w:noProof/>
          <w:sz w:val="22"/>
          <w:szCs w:val="22"/>
          <w:lang w:val="en-US" w:eastAsia="en-US"/>
        </w:rPr>
        <w:t>Input from FDCS for the 2026 Rule of Law Report.</w:t>
      </w:r>
    </w:p>
    <w:p w14:paraId="3475B48F" w14:textId="762677DE" w:rsidR="00B66DF4" w:rsidRPr="00C2244F" w:rsidRDefault="003E0EB3" w:rsidP="00B66DF4">
      <w:pPr>
        <w:spacing w:after="120"/>
        <w:rPr>
          <w:i/>
          <w:iCs/>
          <w:noProof/>
          <w:sz w:val="22"/>
          <w:szCs w:val="22"/>
          <w:lang w:val="en-IE" w:eastAsia="en-GB"/>
        </w:rPr>
      </w:pPr>
      <w:r>
        <w:rPr>
          <w:noProof/>
          <w:sz w:val="22"/>
          <w:szCs w:val="22"/>
          <w:lang w:val="en-IE" w:eastAsia="en-GB"/>
        </w:rPr>
        <w:t xml:space="preserve">FDCS (2026), </w:t>
      </w:r>
      <w:r w:rsidRPr="00C2244F">
        <w:rPr>
          <w:i/>
          <w:iCs/>
          <w:noProof/>
          <w:sz w:val="22"/>
          <w:szCs w:val="22"/>
          <w:lang w:val="en-IE" w:eastAsia="en-GB"/>
        </w:rPr>
        <w:t>Additional</w:t>
      </w:r>
      <w:r>
        <w:rPr>
          <w:noProof/>
          <w:sz w:val="22"/>
          <w:szCs w:val="22"/>
          <w:lang w:val="en-IE" w:eastAsia="en-GB"/>
        </w:rPr>
        <w:t xml:space="preserve"> </w:t>
      </w:r>
      <w:r w:rsidRPr="003D13B0">
        <w:rPr>
          <w:i/>
          <w:iCs/>
          <w:noProof/>
          <w:sz w:val="22"/>
          <w:szCs w:val="22"/>
          <w:lang w:val="en-IE" w:eastAsia="en-GB"/>
        </w:rPr>
        <w:t xml:space="preserve">Input from </w:t>
      </w:r>
      <w:r w:rsidR="00620898">
        <w:rPr>
          <w:i/>
          <w:iCs/>
          <w:noProof/>
          <w:sz w:val="22"/>
          <w:szCs w:val="22"/>
          <w:lang w:val="en-IE" w:eastAsia="en-GB"/>
        </w:rPr>
        <w:t xml:space="preserve">FDCS </w:t>
      </w:r>
      <w:r w:rsidRPr="003D13B0">
        <w:rPr>
          <w:i/>
          <w:iCs/>
          <w:noProof/>
          <w:sz w:val="22"/>
          <w:szCs w:val="22"/>
          <w:lang w:val="en-IE" w:eastAsia="en-GB"/>
        </w:rPr>
        <w:t>for the Rule of Law Report 2026.</w:t>
      </w:r>
    </w:p>
    <w:p w14:paraId="4D0A6FA8" w14:textId="7E94FB32" w:rsidR="00B66DF4" w:rsidRPr="003D13B0" w:rsidRDefault="00B66DF4" w:rsidP="00B66DF4">
      <w:pPr>
        <w:spacing w:after="120"/>
        <w:rPr>
          <w:i/>
          <w:iCs/>
          <w:noProof/>
          <w:sz w:val="22"/>
          <w:szCs w:val="22"/>
          <w:lang w:val="en-IE" w:eastAsia="en-GB"/>
        </w:rPr>
      </w:pPr>
      <w:r w:rsidRPr="003D13B0">
        <w:rPr>
          <w:noProof/>
          <w:sz w:val="22"/>
          <w:szCs w:val="22"/>
          <w:lang w:val="en-IE" w:eastAsia="en-GB"/>
        </w:rPr>
        <w:t xml:space="preserve">FDSC (2026), </w:t>
      </w:r>
      <w:r w:rsidRPr="003D13B0">
        <w:rPr>
          <w:i/>
          <w:iCs/>
          <w:noProof/>
          <w:sz w:val="22"/>
          <w:szCs w:val="22"/>
          <w:lang w:val="en-IE" w:eastAsia="en-GB"/>
        </w:rPr>
        <w:t>Input from FDSC on INSCOP Research survey on the trust in the judiciary in Romania.</w:t>
      </w:r>
    </w:p>
    <w:p w14:paraId="24A9CF7D" w14:textId="77777777" w:rsidR="003D13B0" w:rsidRPr="003D13B0" w:rsidRDefault="003D13B0" w:rsidP="003D13B0">
      <w:pPr>
        <w:spacing w:after="120"/>
        <w:rPr>
          <w:noProof/>
          <w:sz w:val="22"/>
          <w:szCs w:val="22"/>
          <w:lang w:val="en-IE" w:eastAsia="en-GB"/>
        </w:rPr>
      </w:pPr>
      <w:r w:rsidRPr="003D13B0">
        <w:rPr>
          <w:rFonts w:eastAsiaTheme="minorHAnsi"/>
          <w:noProof/>
          <w:sz w:val="22"/>
          <w:szCs w:val="22"/>
          <w:lang w:val="en-US" w:eastAsia="en-US"/>
        </w:rPr>
        <w:t xml:space="preserve">FDSC (2025), </w:t>
      </w:r>
      <w:hyperlink r:id="rId31" w:history="1">
        <w:r w:rsidRPr="003D13B0">
          <w:rPr>
            <w:rFonts w:eastAsiaTheme="minorHAnsi"/>
            <w:i/>
            <w:iCs/>
            <w:noProof/>
            <w:color w:val="0563C1" w:themeColor="hyperlink"/>
            <w:sz w:val="22"/>
            <w:szCs w:val="22"/>
            <w:u w:val="single"/>
            <w:lang w:val="en-US" w:eastAsia="en-US"/>
          </w:rPr>
          <w:t>Monitoring Action for Civic Space. Country Report – Romania</w:t>
        </w:r>
      </w:hyperlink>
      <w:r w:rsidRPr="003D13B0">
        <w:rPr>
          <w:rFonts w:eastAsiaTheme="minorHAnsi"/>
          <w:i/>
          <w:iCs/>
          <w:noProof/>
          <w:sz w:val="22"/>
          <w:szCs w:val="22"/>
          <w:lang w:val="en-US" w:eastAsia="en-US"/>
        </w:rPr>
        <w:t>,</w:t>
      </w:r>
      <w:r w:rsidRPr="003D13B0">
        <w:rPr>
          <w:rFonts w:eastAsiaTheme="minorHAnsi"/>
          <w:noProof/>
          <w:sz w:val="22"/>
          <w:szCs w:val="22"/>
          <w:lang w:val="en-US" w:eastAsia="en-US"/>
        </w:rPr>
        <w:t xml:space="preserve"> December 2025.</w:t>
      </w:r>
    </w:p>
    <w:p w14:paraId="399E216B" w14:textId="77777777" w:rsidR="003D13B0" w:rsidRPr="003D13B0" w:rsidRDefault="003D13B0" w:rsidP="003D13B0">
      <w:pPr>
        <w:spacing w:after="120"/>
        <w:rPr>
          <w:i/>
          <w:noProof/>
          <w:sz w:val="22"/>
          <w:szCs w:val="22"/>
          <w:lang w:val="en-US" w:eastAsia="en-GB"/>
        </w:rPr>
      </w:pPr>
      <w:r w:rsidRPr="003D13B0">
        <w:rPr>
          <w:noProof/>
          <w:sz w:val="22"/>
          <w:szCs w:val="22"/>
          <w:lang w:val="en-US" w:eastAsia="en-GB"/>
        </w:rPr>
        <w:t xml:space="preserve">Foreign Investor’s Council Romania (2026), </w:t>
      </w:r>
      <w:r w:rsidRPr="003D13B0">
        <w:rPr>
          <w:i/>
          <w:noProof/>
          <w:sz w:val="22"/>
          <w:szCs w:val="22"/>
          <w:lang w:val="en-US" w:eastAsia="en-GB"/>
        </w:rPr>
        <w:t>Input from Foreign Investors’ Council Romania for the 2026 Rule of Law Report.</w:t>
      </w:r>
    </w:p>
    <w:p w14:paraId="0274EA21" w14:textId="77777777" w:rsidR="003D13B0" w:rsidRPr="003D13B0" w:rsidRDefault="003D13B0" w:rsidP="003D13B0">
      <w:pPr>
        <w:spacing w:after="120"/>
        <w:rPr>
          <w:rFonts w:eastAsiaTheme="minorHAnsi"/>
          <w:noProof/>
          <w:sz w:val="22"/>
          <w:szCs w:val="22"/>
          <w:lang w:val="it-IT" w:eastAsia="en-US"/>
        </w:rPr>
      </w:pPr>
      <w:r w:rsidRPr="003D13B0">
        <w:rPr>
          <w:noProof/>
          <w:sz w:val="22"/>
          <w:szCs w:val="22"/>
          <w:lang w:val="it-IT" w:eastAsia="en-GB"/>
        </w:rPr>
        <w:t xml:space="preserve">G4Media, Romania: </w:t>
      </w:r>
      <w:hyperlink r:id="rId32" w:history="1">
        <w:r w:rsidRPr="003D13B0">
          <w:rPr>
            <w:noProof/>
            <w:color w:val="0563C1" w:themeColor="hyperlink"/>
            <w:sz w:val="22"/>
            <w:szCs w:val="22"/>
            <w:u w:val="single"/>
            <w:lang w:val="it-IT" w:eastAsia="en-GB"/>
          </w:rPr>
          <w:t>https://www.g4media.ro/curtea-suprema-inca-un-dosar-de-coruptie-inchis-fostul-senator-pnl-eugen-pirvulescu-achitare-si-fapta-prescrisa-in-dosarul-angajarilor-trucate-de-la-ambulanta-teleorman-dna-poate-face-apel.html</w:t>
        </w:r>
      </w:hyperlink>
    </w:p>
    <w:p w14:paraId="5A46A8D0" w14:textId="77777777" w:rsidR="003D13B0" w:rsidRPr="003D13B0" w:rsidRDefault="003D13B0" w:rsidP="003D13B0">
      <w:pPr>
        <w:spacing w:after="120"/>
        <w:rPr>
          <w:noProof/>
          <w:sz w:val="22"/>
          <w:szCs w:val="22"/>
          <w:lang w:val="en-US" w:eastAsia="en-GB"/>
        </w:rPr>
      </w:pPr>
      <w:r w:rsidRPr="003D13B0">
        <w:rPr>
          <w:noProof/>
          <w:sz w:val="22"/>
          <w:szCs w:val="22"/>
          <w:lang w:val="en-IE" w:eastAsia="en-GB"/>
        </w:rPr>
        <w:t xml:space="preserve">Government Emergency Ordinance No. 89 of 23 December 2025 amending and supplementing Law No. 227/2015 on the Fiscal Code, </w:t>
      </w:r>
      <w:r w:rsidRPr="003D13B0">
        <w:rPr>
          <w:noProof/>
          <w:sz w:val="22"/>
          <w:szCs w:val="22"/>
          <w:lang w:val="en-IE" w:eastAsia="en-GB"/>
        </w:rPr>
        <w:fldChar w:fldCharType="begin"/>
      </w:r>
      <w:r w:rsidRPr="003D13B0">
        <w:rPr>
          <w:noProof/>
          <w:sz w:val="22"/>
          <w:szCs w:val="22"/>
          <w:lang w:val="en-IE" w:eastAsia="en-GB"/>
        </w:rPr>
        <w:instrText>HYPERLINK "https://legislatie.just.ro/Public/DetaliiDocument/305817.</w:instrText>
      </w:r>
    </w:p>
    <w:p w14:paraId="63C70F93" w14:textId="77777777" w:rsidR="003D13B0" w:rsidRPr="003D13B0" w:rsidRDefault="003D13B0" w:rsidP="003D13B0">
      <w:pPr>
        <w:spacing w:after="120"/>
        <w:rPr>
          <w:noProof/>
          <w:color w:val="0563C1" w:themeColor="hyperlink"/>
          <w:sz w:val="22"/>
          <w:szCs w:val="22"/>
          <w:u w:val="single"/>
          <w:lang w:val="en-US" w:eastAsia="en-GB"/>
        </w:rPr>
      </w:pPr>
      <w:r w:rsidRPr="003D13B0">
        <w:rPr>
          <w:noProof/>
          <w:sz w:val="22"/>
          <w:szCs w:val="22"/>
          <w:lang w:val="en-IE" w:eastAsia="en-GB"/>
        </w:rPr>
        <w:instrText>"</w:instrText>
      </w:r>
      <w:r w:rsidRPr="003D13B0">
        <w:rPr>
          <w:noProof/>
          <w:sz w:val="22"/>
          <w:szCs w:val="22"/>
          <w:lang w:val="en-IE" w:eastAsia="en-GB"/>
        </w:rPr>
        <w:fldChar w:fldCharType="separate"/>
      </w:r>
      <w:r w:rsidRPr="003D13B0">
        <w:rPr>
          <w:noProof/>
          <w:color w:val="0563C1" w:themeColor="hyperlink"/>
          <w:sz w:val="22"/>
          <w:szCs w:val="22"/>
          <w:u w:val="single"/>
          <w:lang w:val="en-IE" w:eastAsia="en-GB"/>
        </w:rPr>
        <w:t>https://legislatie.just.ro/Public/DetaliiDocument/305817.</w:t>
      </w:r>
    </w:p>
    <w:p w14:paraId="66AD6D57"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fldChar w:fldCharType="end"/>
      </w:r>
      <w:r w:rsidRPr="003D13B0">
        <w:rPr>
          <w:noProof/>
          <w:sz w:val="22"/>
          <w:szCs w:val="22"/>
          <w:lang w:val="en-IE" w:eastAsia="en-GB"/>
        </w:rPr>
        <w:t>Global Alliance of National Human Rights Institutions</w:t>
      </w:r>
    </w:p>
    <w:p w14:paraId="264894DF"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 xml:space="preserve">GRECO (2016), </w:t>
      </w:r>
      <w:r w:rsidRPr="003D13B0">
        <w:rPr>
          <w:i/>
          <w:iCs/>
          <w:noProof/>
          <w:sz w:val="22"/>
          <w:szCs w:val="22"/>
          <w:lang w:val="en-IE" w:eastAsia="en-GB"/>
        </w:rPr>
        <w:t xml:space="preserve">Fourth evaluation round ‘Corruption prevention in respect of members of parliament, judges and prosecutors’ - Evaluation Report Portugal </w:t>
      </w:r>
      <w:hyperlink r:id="rId33" w:history="1">
        <w:r w:rsidRPr="003D13B0">
          <w:rPr>
            <w:noProof/>
            <w:color w:val="0563C1" w:themeColor="hyperlink"/>
            <w:sz w:val="22"/>
            <w:szCs w:val="22"/>
            <w:u w:val="single"/>
            <w:lang w:val="en-IE" w:eastAsia="en-GB"/>
          </w:rPr>
          <w:t>FOURTH EVALUATION ROUND</w:t>
        </w:r>
      </w:hyperlink>
      <w:r w:rsidRPr="003D13B0">
        <w:rPr>
          <w:i/>
          <w:iCs/>
          <w:noProof/>
          <w:sz w:val="22"/>
          <w:szCs w:val="22"/>
          <w:lang w:val="en-IE" w:eastAsia="en-GB"/>
        </w:rPr>
        <w:t>.</w:t>
      </w:r>
    </w:p>
    <w:p w14:paraId="498408ED" w14:textId="77777777"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IE" w:eastAsia="en-US"/>
        </w:rPr>
        <w:t xml:space="preserve">High Court of Cassation and Justice, Decision 574/2025 of 25 March 2026, </w:t>
      </w:r>
      <w:hyperlink r:id="rId34" w:history="1">
        <w:r w:rsidRPr="003D13B0">
          <w:rPr>
            <w:rFonts w:eastAsiaTheme="minorHAnsi"/>
            <w:noProof/>
            <w:color w:val="0563C1" w:themeColor="hyperlink"/>
            <w:sz w:val="22"/>
            <w:szCs w:val="22"/>
            <w:u w:val="single"/>
            <w:lang w:val="en-US" w:eastAsia="en-US"/>
          </w:rPr>
          <w:t>COMUNICAT privind suspendarea Deciziei nr.574/2025 emise de prim-ministrul Ilie Bolojan privind înființarea comitetului constituit pentru legile justiției – Înalta Curte de Casație și Justiție a României</w:t>
        </w:r>
      </w:hyperlink>
    </w:p>
    <w:p w14:paraId="695744BC"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High Court of Cassation and Justice, Decision 2431/1/2025.</w:t>
      </w:r>
    </w:p>
    <w:p w14:paraId="53F4DBED"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High Court of Cassation and Justice, Decision 793/1/2025 of 14 May 2025.</w:t>
      </w:r>
    </w:p>
    <w:p w14:paraId="73A6080F"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High Court of Cassation and Justice, Decision 182/2024 of 9 September 2024.</w:t>
      </w:r>
    </w:p>
    <w:p w14:paraId="4390160B" w14:textId="77777777" w:rsidR="003D13B0" w:rsidRPr="003D13B0" w:rsidRDefault="003D13B0" w:rsidP="00C2244F">
      <w:pPr>
        <w:spacing w:after="0" w:line="360" w:lineRule="auto"/>
        <w:rPr>
          <w:rFonts w:eastAsiaTheme="minorHAnsi"/>
          <w:noProof/>
          <w:sz w:val="22"/>
          <w:szCs w:val="22"/>
          <w:lang w:val="en-IE" w:eastAsia="en-US"/>
        </w:rPr>
      </w:pPr>
      <w:r w:rsidRPr="003D13B0">
        <w:rPr>
          <w:noProof/>
          <w:sz w:val="22"/>
          <w:szCs w:val="22"/>
          <w:lang w:val="en-IE" w:eastAsia="en-GB"/>
        </w:rPr>
        <w:t>High Court of Cassation and Justice, Decision 815/59/2022 of 12 April 2022.</w:t>
      </w:r>
    </w:p>
    <w:p w14:paraId="09AA81BC" w14:textId="77777777" w:rsidR="003D13B0" w:rsidRPr="003D13B0" w:rsidRDefault="003D13B0" w:rsidP="004B23E6">
      <w:pPr>
        <w:spacing w:after="120"/>
        <w:rPr>
          <w:rFonts w:eastAsiaTheme="minorHAnsi"/>
          <w:i/>
          <w:noProof/>
          <w:sz w:val="22"/>
          <w:szCs w:val="22"/>
          <w:lang w:val="en-IE" w:eastAsia="en-US"/>
        </w:rPr>
      </w:pPr>
      <w:r w:rsidRPr="003D13B0">
        <w:rPr>
          <w:rFonts w:eastAsiaTheme="minorHAnsi"/>
          <w:noProof/>
          <w:sz w:val="22"/>
          <w:szCs w:val="22"/>
          <w:lang w:val="en-IE" w:eastAsia="en-US"/>
        </w:rPr>
        <w:t xml:space="preserve">Initiative for Justice Association (2026), </w:t>
      </w:r>
      <w:r w:rsidRPr="003D13B0">
        <w:rPr>
          <w:rFonts w:eastAsiaTheme="minorHAnsi"/>
          <w:i/>
          <w:noProof/>
          <w:sz w:val="22"/>
          <w:szCs w:val="22"/>
          <w:lang w:val="en-IE" w:eastAsia="en-US"/>
        </w:rPr>
        <w:t xml:space="preserve">Input from Initiative for Justice Association for the 2026 Rule of Law Report. </w:t>
      </w:r>
    </w:p>
    <w:p w14:paraId="6D3FC5B0" w14:textId="77777777" w:rsidR="003D13B0" w:rsidRPr="003D13B0" w:rsidRDefault="003D13B0" w:rsidP="003D13B0">
      <w:pPr>
        <w:spacing w:after="120"/>
        <w:rPr>
          <w:rFonts w:eastAsiaTheme="minorHAnsi"/>
          <w:iCs/>
          <w:noProof/>
          <w:sz w:val="22"/>
          <w:szCs w:val="22"/>
          <w:lang w:val="en-IE" w:eastAsia="en-US"/>
        </w:rPr>
      </w:pPr>
      <w:r w:rsidRPr="003D13B0">
        <w:rPr>
          <w:rFonts w:eastAsiaTheme="minorHAnsi"/>
          <w:iCs/>
          <w:noProof/>
          <w:sz w:val="22"/>
          <w:szCs w:val="22"/>
          <w:lang w:val="en-IE" w:eastAsia="en-US"/>
        </w:rPr>
        <w:t xml:space="preserve">ILGA-Europe (2026), </w:t>
      </w:r>
      <w:r w:rsidRPr="003D13B0">
        <w:rPr>
          <w:rFonts w:eastAsiaTheme="minorHAnsi"/>
          <w:i/>
          <w:noProof/>
          <w:sz w:val="22"/>
          <w:szCs w:val="22"/>
          <w:lang w:val="en-IE" w:eastAsia="en-US"/>
        </w:rPr>
        <w:t>Input from ILGA-Europe to the 2026 Rule of Law Report.</w:t>
      </w:r>
    </w:p>
    <w:p w14:paraId="428FDA36" w14:textId="77777777" w:rsidR="003D13B0" w:rsidRPr="003D13B0" w:rsidRDefault="003D13B0" w:rsidP="003D13B0">
      <w:pPr>
        <w:spacing w:after="120"/>
        <w:rPr>
          <w:noProof/>
          <w:sz w:val="22"/>
          <w:szCs w:val="22"/>
          <w:lang w:val="en-IE" w:eastAsia="fr-FR"/>
        </w:rPr>
      </w:pPr>
      <w:r w:rsidRPr="003D13B0">
        <w:rPr>
          <w:noProof/>
          <w:sz w:val="22"/>
          <w:szCs w:val="22"/>
          <w:lang w:val="en-IE" w:eastAsia="fr-FR"/>
        </w:rPr>
        <w:t>INSCOP Research (2026), survey on the trust in the judiciary in Romania, January 2026.</w:t>
      </w:r>
    </w:p>
    <w:p w14:paraId="23B32B67" w14:textId="77777777" w:rsidR="003D13B0" w:rsidRPr="003D13B0" w:rsidRDefault="003D13B0" w:rsidP="003D13B0">
      <w:pPr>
        <w:spacing w:after="120"/>
        <w:rPr>
          <w:i/>
          <w:iCs/>
          <w:noProof/>
          <w:sz w:val="22"/>
          <w:szCs w:val="22"/>
          <w:lang w:val="en-IE" w:eastAsia="en-GB"/>
        </w:rPr>
      </w:pPr>
      <w:r w:rsidRPr="003D13B0">
        <w:rPr>
          <w:noProof/>
          <w:sz w:val="22"/>
          <w:szCs w:val="22"/>
          <w:lang w:val="en-IE" w:eastAsia="en-GB"/>
        </w:rPr>
        <w:t xml:space="preserve">Judicial Inspection (2026), </w:t>
      </w:r>
      <w:r w:rsidRPr="003D13B0">
        <w:rPr>
          <w:i/>
          <w:iCs/>
          <w:noProof/>
          <w:sz w:val="22"/>
          <w:szCs w:val="22"/>
          <w:lang w:val="en-IE" w:eastAsia="en-GB"/>
        </w:rPr>
        <w:t>Input from the Judicial Inspection to the 2026 Rule of Law Report.</w:t>
      </w:r>
    </w:p>
    <w:p w14:paraId="2B94C378" w14:textId="77777777" w:rsidR="003D13B0" w:rsidRPr="003D13B0" w:rsidRDefault="003D13B0" w:rsidP="003D13B0">
      <w:pPr>
        <w:spacing w:after="120"/>
        <w:rPr>
          <w:noProof/>
          <w:sz w:val="22"/>
          <w:szCs w:val="22"/>
          <w:lang w:val="en-IE" w:eastAsia="fr-FR"/>
        </w:rPr>
      </w:pPr>
      <w:r w:rsidRPr="003D13B0">
        <w:rPr>
          <w:noProof/>
          <w:sz w:val="22"/>
          <w:szCs w:val="22"/>
          <w:lang w:val="en-IE" w:eastAsia="fr-FR"/>
        </w:rPr>
        <w:t xml:space="preserve">Final report of the evaluation of the 2021-2025 National Anti-Corruption Strategy: </w:t>
      </w:r>
      <w:hyperlink r:id="rId35" w:anchor="pdf" w:history="1">
        <w:r w:rsidRPr="003D13B0">
          <w:rPr>
            <w:noProof/>
            <w:sz w:val="22"/>
            <w:szCs w:val="22"/>
            <w:lang w:val="en-IE" w:eastAsia="fr-FR"/>
          </w:rPr>
          <w:t>https://sna.just.ro/en/a/rapoarte-de-audit/2021-2025#pdf</w:t>
        </w:r>
      </w:hyperlink>
      <w:r w:rsidRPr="003D13B0">
        <w:rPr>
          <w:noProof/>
          <w:sz w:val="22"/>
          <w:szCs w:val="22"/>
          <w:lang w:val="en-IE" w:eastAsia="fr-FR"/>
        </w:rPr>
        <w:t>.</w:t>
      </w:r>
    </w:p>
    <w:p w14:paraId="051B9D27" w14:textId="77777777" w:rsidR="003D13B0" w:rsidRPr="003D13B0" w:rsidRDefault="003D13B0" w:rsidP="003D13B0">
      <w:pPr>
        <w:spacing w:after="120"/>
        <w:rPr>
          <w:rFonts w:eastAsiaTheme="minorHAnsi"/>
          <w:i/>
          <w:noProof/>
          <w:sz w:val="22"/>
          <w:szCs w:val="22"/>
          <w:lang w:val="en-IE" w:eastAsia="en-US"/>
        </w:rPr>
      </w:pPr>
      <w:r w:rsidRPr="003D13B0">
        <w:rPr>
          <w:rFonts w:eastAsiaTheme="minorHAnsi"/>
          <w:noProof/>
          <w:sz w:val="22"/>
          <w:szCs w:val="22"/>
          <w:lang w:val="en-IE" w:eastAsia="en-US"/>
        </w:rPr>
        <w:t xml:space="preserve">Konrad Adenauer Stiftung (2026), </w:t>
      </w:r>
      <w:r w:rsidRPr="003D13B0">
        <w:rPr>
          <w:rFonts w:eastAsiaTheme="minorHAnsi"/>
          <w:i/>
          <w:noProof/>
          <w:sz w:val="22"/>
          <w:szCs w:val="22"/>
          <w:lang w:val="en-IE" w:eastAsia="en-US"/>
        </w:rPr>
        <w:t>Input from the Konrad Adenauer Stiftung for the 2026 Rule of Law Report.</w:t>
      </w:r>
    </w:p>
    <w:p w14:paraId="0F688A62" w14:textId="32D210C6"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Konrad Adenauer Stiftung (2025), </w:t>
      </w:r>
      <w:hyperlink r:id="rId36" w:history="1">
        <w:r w:rsidRPr="003D13B0">
          <w:rPr>
            <w:rFonts w:eastAsiaTheme="minorHAnsi"/>
            <w:i/>
            <w:noProof/>
            <w:color w:val="0563C1" w:themeColor="hyperlink"/>
            <w:sz w:val="22"/>
            <w:szCs w:val="22"/>
            <w:u w:val="single"/>
            <w:lang w:val="en-US" w:eastAsia="en-US"/>
          </w:rPr>
          <w:t>Warning! Democracy collapse. How do we combat the democratic regression in Romania in the long term?</w:t>
        </w:r>
      </w:hyperlink>
    </w:p>
    <w:p w14:paraId="38918155" w14:textId="77777777" w:rsidR="003D13B0" w:rsidRPr="003D13B0" w:rsidRDefault="003D13B0" w:rsidP="003D13B0">
      <w:pPr>
        <w:spacing w:after="120"/>
        <w:rPr>
          <w:rFonts w:eastAsiaTheme="minorHAnsi"/>
          <w:i/>
          <w:noProof/>
          <w:sz w:val="22"/>
          <w:szCs w:val="22"/>
          <w:lang w:val="en-IE" w:eastAsia="en-US"/>
        </w:rPr>
      </w:pPr>
      <w:r w:rsidRPr="003D13B0">
        <w:rPr>
          <w:rFonts w:eastAsiaTheme="minorHAnsi"/>
          <w:noProof/>
          <w:sz w:val="22"/>
          <w:szCs w:val="22"/>
          <w:lang w:val="en-IE" w:eastAsia="en-US"/>
        </w:rPr>
        <w:t xml:space="preserve">Liberties (2026), </w:t>
      </w:r>
      <w:r w:rsidRPr="003D13B0">
        <w:rPr>
          <w:rFonts w:eastAsiaTheme="minorHAnsi"/>
          <w:i/>
          <w:noProof/>
          <w:sz w:val="22"/>
          <w:szCs w:val="22"/>
          <w:lang w:val="en-IE" w:eastAsia="en-US"/>
        </w:rPr>
        <w:t>Input from Liberties for the 2026 Rule of Law Report.</w:t>
      </w:r>
    </w:p>
    <w:p w14:paraId="411B6867" w14:textId="77777777" w:rsidR="003D13B0" w:rsidRPr="003D13B0" w:rsidRDefault="003D13B0" w:rsidP="003D13B0">
      <w:pPr>
        <w:spacing w:after="120"/>
        <w:rPr>
          <w:rFonts w:eastAsiaTheme="minorHAnsi"/>
          <w:noProof/>
          <w:sz w:val="22"/>
          <w:szCs w:val="22"/>
          <w:lang w:val="en-IE" w:eastAsia="en-US"/>
        </w:rPr>
      </w:pPr>
      <w:bookmarkStart w:id="8" w:name="_Hlk220695125"/>
      <w:r w:rsidRPr="003D13B0">
        <w:rPr>
          <w:rFonts w:eastAsiaTheme="minorHAnsi"/>
          <w:noProof/>
          <w:sz w:val="22"/>
          <w:szCs w:val="22"/>
          <w:lang w:val="en-IE" w:eastAsia="en-US"/>
        </w:rPr>
        <w:t>Ministry of Justice, Strategy for the development of the judicial system and justice as a public service 2025–2029</w:t>
      </w:r>
      <w:bookmarkEnd w:id="8"/>
      <w:r w:rsidRPr="003D13B0">
        <w:rPr>
          <w:rFonts w:eastAsiaTheme="minorHAnsi"/>
          <w:i/>
          <w:noProof/>
          <w:sz w:val="22"/>
          <w:szCs w:val="22"/>
          <w:lang w:val="en-IE" w:eastAsia="en-US"/>
        </w:rPr>
        <w:t xml:space="preserve">, </w:t>
      </w:r>
      <w:hyperlink r:id="rId37" w:history="1">
        <w:r w:rsidRPr="003D13B0">
          <w:rPr>
            <w:rFonts w:eastAsiaTheme="minorHAnsi"/>
            <w:noProof/>
            <w:color w:val="0563C1" w:themeColor="hyperlink"/>
            <w:sz w:val="22"/>
            <w:szCs w:val="22"/>
            <w:u w:val="single"/>
            <w:lang w:val="en-IE" w:eastAsia="en-US"/>
          </w:rPr>
          <w:t>HOTARARE 390 16/04/2025 - Portal Legislativ</w:t>
        </w:r>
      </w:hyperlink>
      <w:r w:rsidRPr="003D13B0">
        <w:rPr>
          <w:rFonts w:eastAsiaTheme="minorHAnsi"/>
          <w:noProof/>
          <w:sz w:val="22"/>
          <w:szCs w:val="22"/>
          <w:lang w:val="en-IE" w:eastAsia="en-US"/>
        </w:rPr>
        <w:t>.</w:t>
      </w:r>
    </w:p>
    <w:p w14:paraId="53811F0B" w14:textId="77777777" w:rsidR="003D13B0" w:rsidRPr="003D13B0" w:rsidRDefault="003D13B0" w:rsidP="003D13B0">
      <w:pPr>
        <w:spacing w:after="120"/>
        <w:rPr>
          <w:rFonts w:eastAsiaTheme="minorHAnsi"/>
          <w:i/>
          <w:noProof/>
          <w:sz w:val="22"/>
          <w:szCs w:val="22"/>
          <w:lang w:val="en-IE" w:eastAsia="en-US"/>
        </w:rPr>
      </w:pPr>
      <w:r w:rsidRPr="003D13B0">
        <w:rPr>
          <w:rFonts w:eastAsiaTheme="minorHAnsi"/>
          <w:noProof/>
          <w:sz w:val="22"/>
          <w:szCs w:val="22"/>
          <w:lang w:val="en-IE" w:eastAsia="en-US"/>
        </w:rPr>
        <w:t xml:space="preserve">Movement for the Defence of Prosecutors’ Status Association (2026), </w:t>
      </w:r>
      <w:r w:rsidRPr="003D13B0">
        <w:rPr>
          <w:rFonts w:eastAsiaTheme="minorHAnsi"/>
          <w:i/>
          <w:noProof/>
          <w:sz w:val="22"/>
          <w:szCs w:val="22"/>
          <w:lang w:val="en-IE" w:eastAsia="en-US"/>
        </w:rPr>
        <w:t xml:space="preserve">Input from Movement for the Defence of Prosecutors’ Status Association for the 2026 Rule of Law Report. </w:t>
      </w:r>
    </w:p>
    <w:p w14:paraId="1B90CADB" w14:textId="2E72417E" w:rsidR="003D13B0" w:rsidRPr="003D13B0" w:rsidRDefault="003D13B0" w:rsidP="003D13B0">
      <w:pPr>
        <w:spacing w:after="120"/>
        <w:rPr>
          <w:i/>
          <w:iCs/>
          <w:noProof/>
          <w:sz w:val="22"/>
          <w:szCs w:val="22"/>
          <w:lang w:val="en-IE" w:eastAsia="en-GB"/>
        </w:rPr>
      </w:pPr>
      <w:r w:rsidRPr="003D13B0">
        <w:rPr>
          <w:noProof/>
          <w:sz w:val="22"/>
          <w:szCs w:val="22"/>
          <w:lang w:val="en-IE" w:eastAsia="en-GB"/>
        </w:rPr>
        <w:t>National Union of Romanian Bar Associations (202</w:t>
      </w:r>
      <w:r w:rsidR="00555126">
        <w:rPr>
          <w:noProof/>
          <w:sz w:val="22"/>
          <w:szCs w:val="22"/>
          <w:lang w:val="en-IE" w:eastAsia="en-GB"/>
        </w:rPr>
        <w:t>6</w:t>
      </w:r>
      <w:r w:rsidRPr="003D13B0">
        <w:rPr>
          <w:noProof/>
          <w:sz w:val="22"/>
          <w:szCs w:val="22"/>
          <w:lang w:val="en-IE" w:eastAsia="en-GB"/>
        </w:rPr>
        <w:t xml:space="preserve">), </w:t>
      </w:r>
      <w:r w:rsidRPr="003D13B0">
        <w:rPr>
          <w:i/>
          <w:iCs/>
          <w:noProof/>
          <w:sz w:val="22"/>
          <w:szCs w:val="22"/>
          <w:lang w:val="en-IE" w:eastAsia="en-GB"/>
        </w:rPr>
        <w:t>Input from the National Union of Romanian Bar Associations for the Rule of Law Report 2026.</w:t>
      </w:r>
    </w:p>
    <w:p w14:paraId="1CC2EF94" w14:textId="77777777"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OECD (2026), </w:t>
      </w:r>
      <w:r w:rsidRPr="003D13B0">
        <w:rPr>
          <w:rFonts w:eastAsiaTheme="minorHAnsi"/>
          <w:i/>
          <w:noProof/>
          <w:sz w:val="22"/>
          <w:szCs w:val="22"/>
          <w:lang w:val="en-US" w:eastAsia="en-US"/>
        </w:rPr>
        <w:t>OEC</w:t>
      </w:r>
      <w:r w:rsidRPr="003D13B0">
        <w:rPr>
          <w:rFonts w:eastAsiaTheme="minorHAnsi"/>
          <w:i/>
          <w:noProof/>
          <w:sz w:val="22"/>
          <w:szCs w:val="22"/>
          <w:lang w:val="en-IE" w:eastAsia="en-US"/>
        </w:rPr>
        <w:t>D</w:t>
      </w:r>
      <w:r w:rsidRPr="003D13B0">
        <w:rPr>
          <w:rFonts w:eastAsiaTheme="minorHAnsi"/>
          <w:i/>
          <w:noProof/>
          <w:sz w:val="22"/>
          <w:szCs w:val="22"/>
          <w:lang w:val="en-US" w:eastAsia="en-US"/>
        </w:rPr>
        <w:t xml:space="preserve"> Economic Surveys: Romania 2026 </w:t>
      </w:r>
      <w:hyperlink r:id="rId38" w:history="1">
        <w:r w:rsidRPr="003D13B0">
          <w:rPr>
            <w:rFonts w:eastAsiaTheme="minorHAnsi"/>
            <w:noProof/>
            <w:color w:val="0563C1" w:themeColor="hyperlink"/>
            <w:sz w:val="22"/>
            <w:szCs w:val="22"/>
            <w:u w:val="single"/>
            <w:lang w:val="en-US" w:eastAsia="en-US"/>
          </w:rPr>
          <w:t>https://www.oecd.org/en/publications/oecd-economic-surveys-romania-2026_4844067e-en/full-report.html</w:t>
        </w:r>
      </w:hyperlink>
      <w:r w:rsidRPr="003D13B0">
        <w:rPr>
          <w:rFonts w:eastAsiaTheme="minorHAnsi"/>
          <w:noProof/>
          <w:sz w:val="22"/>
          <w:szCs w:val="22"/>
          <w:lang w:val="en-US" w:eastAsia="en-US"/>
        </w:rPr>
        <w:t>.</w:t>
      </w:r>
    </w:p>
    <w:p w14:paraId="3295A065" w14:textId="72E5DEC7" w:rsidR="007E0332" w:rsidRPr="0022271F" w:rsidRDefault="007E0332" w:rsidP="007E0332">
      <w:pPr>
        <w:pStyle w:val="FootnoteText"/>
        <w:rPr>
          <w:noProof/>
        </w:rPr>
      </w:pPr>
      <w:r>
        <w:rPr>
          <w:noProof/>
          <w:sz w:val="22"/>
          <w:szCs w:val="22"/>
          <w:lang w:val="en-IE" w:eastAsia="en-GB"/>
        </w:rPr>
        <w:t>Parliament, Chamber of Deputies,</w:t>
      </w:r>
      <w:r w:rsidR="00D833B6">
        <w:rPr>
          <w:noProof/>
          <w:sz w:val="22"/>
          <w:szCs w:val="22"/>
          <w:lang w:val="en-IE" w:eastAsia="en-GB"/>
        </w:rPr>
        <w:t xml:space="preserve"> statistics on legislative acts,</w:t>
      </w:r>
    </w:p>
    <w:p w14:paraId="151830DA" w14:textId="539BBDDF" w:rsidR="007E0332" w:rsidRPr="00C2244F" w:rsidRDefault="00460DC7" w:rsidP="007E0332">
      <w:pPr>
        <w:spacing w:after="120"/>
        <w:rPr>
          <w:noProof/>
          <w:sz w:val="20"/>
          <w:lang w:val="en-IE" w:eastAsia="en-GB"/>
        </w:rPr>
      </w:pPr>
      <w:hyperlink r:id="rId39" w:history="1">
        <w:r w:rsidR="007E0332" w:rsidRPr="00C2244F">
          <w:rPr>
            <w:rStyle w:val="Hyperlink"/>
            <w:noProof/>
            <w:sz w:val="22"/>
            <w:szCs w:val="18"/>
            <w:lang w:val="en-IE"/>
          </w:rPr>
          <w:t>https://www.cdep.ro/pls/dic/legis_acte_parlam?cam=0&amp;tip=1&amp;an=2025</w:t>
        </w:r>
      </w:hyperlink>
      <w:r w:rsidR="004B6B2C" w:rsidRPr="00C2244F">
        <w:rPr>
          <w:noProof/>
          <w:sz w:val="22"/>
          <w:szCs w:val="18"/>
        </w:rPr>
        <w:t>.</w:t>
      </w:r>
    </w:p>
    <w:p w14:paraId="7D6DC732" w14:textId="466E5670" w:rsidR="003D13B0" w:rsidRPr="003D13B0" w:rsidRDefault="003D13B0" w:rsidP="003D13B0">
      <w:pPr>
        <w:spacing w:after="120"/>
        <w:rPr>
          <w:noProof/>
          <w:sz w:val="22"/>
          <w:szCs w:val="22"/>
          <w:lang w:val="en-IE" w:eastAsia="en-GB"/>
        </w:rPr>
      </w:pPr>
      <w:r w:rsidRPr="003D13B0">
        <w:rPr>
          <w:noProof/>
          <w:sz w:val="22"/>
          <w:szCs w:val="22"/>
          <w:lang w:val="en-IE" w:eastAsia="en-GB"/>
        </w:rPr>
        <w:t xml:space="preserve">President of </w:t>
      </w:r>
      <w:r w:rsidR="00810C1D">
        <w:rPr>
          <w:noProof/>
          <w:sz w:val="22"/>
          <w:szCs w:val="22"/>
          <w:lang w:val="en-IE" w:eastAsia="en-GB"/>
        </w:rPr>
        <w:t>Romania</w:t>
      </w:r>
      <w:r w:rsidRPr="003D13B0">
        <w:rPr>
          <w:noProof/>
          <w:sz w:val="22"/>
          <w:szCs w:val="22"/>
          <w:lang w:val="en-IE" w:eastAsia="en-GB"/>
        </w:rPr>
        <w:t xml:space="preserve"> (2025), </w:t>
      </w:r>
      <w:r w:rsidRPr="003D13B0">
        <w:rPr>
          <w:i/>
          <w:iCs/>
          <w:noProof/>
          <w:sz w:val="22"/>
          <w:szCs w:val="22"/>
          <w:lang w:val="en-IE" w:eastAsia="en-GB"/>
        </w:rPr>
        <w:t xml:space="preserve">Summary of the comments submitted by magistrates and other actors in the judicial system on the functioning or justice, the independence of magistrates and the mechanisms regarding the career of magistrates, </w:t>
      </w:r>
      <w:hyperlink r:id="rId40" w:history="1">
        <w:r w:rsidR="00540D4F" w:rsidRPr="00540D4F">
          <w:rPr>
            <w:rStyle w:val="Hyperlink"/>
            <w:noProof/>
          </w:rPr>
          <w:t>https://www.presidency.ro/ro/media/comunicate-de-presa/sinteza-observatiilor-transmise-de-magistrati-si-alti-actori-din-sistemul-judiciar-privind-functionarea-justitiei-independenta-magistratilor-si-mecanismele-privind-cariera-magistratilor</w:t>
        </w:r>
      </w:hyperlink>
      <w:r w:rsidRPr="003D13B0">
        <w:rPr>
          <w:i/>
          <w:iCs/>
          <w:noProof/>
          <w:sz w:val="22"/>
          <w:szCs w:val="22"/>
          <w:lang w:val="en-US" w:eastAsia="en-GB"/>
        </w:rPr>
        <w:t xml:space="preserve">. </w:t>
      </w:r>
    </w:p>
    <w:p w14:paraId="777FBF79" w14:textId="77777777" w:rsidR="003D13B0" w:rsidRPr="003D13B0" w:rsidRDefault="003D13B0" w:rsidP="003D13B0">
      <w:pPr>
        <w:spacing w:after="120"/>
        <w:rPr>
          <w:rFonts w:eastAsiaTheme="minorHAnsi"/>
          <w:noProof/>
          <w:sz w:val="22"/>
          <w:szCs w:val="22"/>
          <w:lang w:val="it-IT" w:eastAsia="en-US"/>
        </w:rPr>
      </w:pPr>
      <w:r w:rsidRPr="003D13B0">
        <w:rPr>
          <w:noProof/>
          <w:sz w:val="22"/>
          <w:szCs w:val="22"/>
          <w:lang w:val="it-IT" w:eastAsia="en-GB"/>
        </w:rPr>
        <w:t xml:space="preserve">ProTv, Romania : </w:t>
      </w:r>
      <w:hyperlink r:id="rId41" w:history="1">
        <w:r w:rsidRPr="003D13B0">
          <w:rPr>
            <w:noProof/>
            <w:color w:val="0563C1" w:themeColor="hyperlink"/>
            <w:sz w:val="22"/>
            <w:szCs w:val="22"/>
            <w:u w:val="single"/>
            <w:lang w:val="it-IT" w:eastAsia="en-GB"/>
          </w:rPr>
          <w:t>https://stirileprotv.ro/stiri/actualitate/darius-valcov-eliberat-din-inchisoare-dupa-ce-instanta-suprema-a-stabilit-ca-faptele-s-au-prescris.html</w:t>
        </w:r>
      </w:hyperlink>
    </w:p>
    <w:p w14:paraId="7AE17DF7" w14:textId="77777777" w:rsidR="003D13B0" w:rsidRPr="003D13B0" w:rsidRDefault="003D13B0" w:rsidP="003D13B0">
      <w:pPr>
        <w:spacing w:after="120"/>
        <w:rPr>
          <w:rFonts w:eastAsiaTheme="minorHAnsi"/>
          <w:iCs/>
          <w:noProof/>
          <w:sz w:val="22"/>
          <w:szCs w:val="22"/>
          <w:lang w:val="en-US" w:eastAsia="en-US"/>
        </w:rPr>
      </w:pPr>
      <w:r w:rsidRPr="003D13B0">
        <w:rPr>
          <w:rFonts w:eastAsiaTheme="minorHAnsi"/>
          <w:noProof/>
          <w:sz w:val="22"/>
          <w:szCs w:val="22"/>
          <w:lang w:val="en-US" w:eastAsia="en-US"/>
        </w:rPr>
        <w:t xml:space="preserve">Resource Centre for Public Participation and Coalition NGOs for Citizens (2026), </w:t>
      </w:r>
      <w:r w:rsidRPr="003D13B0">
        <w:rPr>
          <w:rFonts w:eastAsiaTheme="minorHAnsi"/>
          <w:i/>
          <w:noProof/>
          <w:sz w:val="22"/>
          <w:szCs w:val="22"/>
          <w:lang w:val="en-US" w:eastAsia="en-US"/>
        </w:rPr>
        <w:t>Input from Resource Centre for Public Participation and Coalition NGOs for Citizens for the 2026 Rule of Law Report</w:t>
      </w:r>
      <w:r w:rsidRPr="003D13B0">
        <w:rPr>
          <w:rFonts w:eastAsiaTheme="minorHAnsi"/>
          <w:iCs/>
          <w:noProof/>
          <w:sz w:val="22"/>
          <w:szCs w:val="22"/>
          <w:lang w:val="en-US" w:eastAsia="en-US"/>
        </w:rPr>
        <w:t>.</w:t>
      </w:r>
    </w:p>
    <w:p w14:paraId="4BA6184A" w14:textId="77777777" w:rsidR="00A96F69" w:rsidRDefault="009059F0" w:rsidP="003D13B0">
      <w:pPr>
        <w:spacing w:after="120"/>
        <w:rPr>
          <w:rFonts w:eastAsiaTheme="minorHAnsi"/>
          <w:noProof/>
          <w:sz w:val="22"/>
          <w:szCs w:val="22"/>
          <w:lang w:val="en-US" w:eastAsia="en-US"/>
        </w:rPr>
      </w:pPr>
      <w:r w:rsidRPr="003D13B0">
        <w:rPr>
          <w:rFonts w:eastAsiaTheme="minorHAnsi"/>
          <w:noProof/>
          <w:sz w:val="22"/>
          <w:szCs w:val="22"/>
          <w:lang w:val="en-US" w:eastAsia="en-US"/>
        </w:rPr>
        <w:t>Romanian Chamber of Deputies (2021), Draft Law amending and supplementing Law No. 60/1911 on the organisation and conduct of public assemblies (</w:t>
      </w:r>
      <w:hyperlink r:id="rId42" w:history="1">
        <w:r w:rsidRPr="003D13B0">
          <w:rPr>
            <w:rFonts w:eastAsiaTheme="minorHAnsi"/>
            <w:i/>
            <w:noProof/>
            <w:color w:val="0563C1" w:themeColor="hyperlink"/>
            <w:sz w:val="22"/>
            <w:szCs w:val="22"/>
            <w:u w:val="single"/>
            <w:lang w:val="en-US" w:eastAsia="en-US"/>
          </w:rPr>
          <w:t>Proiect de Lege pentru modificarea şi completarea Legii nr.60/1991 privind organizarea şi desfăşurarea adunărilor publice</w:t>
        </w:r>
      </w:hyperlink>
      <w:r w:rsidRPr="003D13B0">
        <w:rPr>
          <w:rFonts w:eastAsiaTheme="minorHAnsi"/>
          <w:noProof/>
          <w:sz w:val="22"/>
          <w:szCs w:val="22"/>
          <w:lang w:val="en-US" w:eastAsia="en-US"/>
        </w:rPr>
        <w:t>), 1 February 2021.</w:t>
      </w:r>
    </w:p>
    <w:p w14:paraId="20316EE6" w14:textId="7A713222" w:rsidR="003C1F2A" w:rsidRPr="003E2D9E" w:rsidRDefault="003C1F2A" w:rsidP="003D13B0">
      <w:pPr>
        <w:spacing w:after="120"/>
        <w:rPr>
          <w:rFonts w:eastAsiaTheme="minorHAnsi"/>
          <w:noProof/>
          <w:sz w:val="22"/>
          <w:szCs w:val="22"/>
          <w:lang w:val="en-US" w:eastAsia="en-US"/>
        </w:rPr>
      </w:pPr>
      <w:r w:rsidRPr="003E2D9E">
        <w:rPr>
          <w:noProof/>
          <w:sz w:val="22"/>
          <w:szCs w:val="22"/>
        </w:rPr>
        <w:t xml:space="preserve">Government of Romania, Chancellery of the Prime Minister, Report on the work of the Committee on the Review and Revision of the Justice Laws. </w:t>
      </w:r>
      <w:hyperlink r:id="rId43" w:history="1">
        <w:r w:rsidRPr="003E2D9E">
          <w:rPr>
            <w:rStyle w:val="Hyperlink"/>
            <w:rFonts w:eastAsiaTheme="minorHAnsi"/>
            <w:noProof/>
            <w:sz w:val="22"/>
            <w:szCs w:val="22"/>
            <w:lang w:eastAsia="en-US"/>
          </w:rPr>
          <w:t>Raport_final_2026.03.16.pdf</w:t>
        </w:r>
      </w:hyperlink>
      <w:r w:rsidRPr="003E2D9E">
        <w:rPr>
          <w:rFonts w:eastAsiaTheme="minorHAnsi"/>
          <w:noProof/>
          <w:sz w:val="22"/>
          <w:szCs w:val="22"/>
          <w:lang w:val="en-US" w:eastAsia="en-US"/>
        </w:rPr>
        <w:t xml:space="preserve"> (website of the Government).</w:t>
      </w:r>
    </w:p>
    <w:p w14:paraId="37AA540F" w14:textId="4C9F8EAD" w:rsidR="003D13B0" w:rsidRPr="003D13B0" w:rsidRDefault="003D13B0" w:rsidP="003D13B0">
      <w:pPr>
        <w:spacing w:after="120"/>
        <w:rPr>
          <w:rFonts w:eastAsiaTheme="minorHAnsi"/>
          <w:i/>
          <w:noProof/>
          <w:sz w:val="22"/>
          <w:szCs w:val="22"/>
          <w:lang w:val="en-US" w:eastAsia="en-US"/>
        </w:rPr>
      </w:pPr>
      <w:r w:rsidRPr="003D13B0">
        <w:rPr>
          <w:rFonts w:eastAsiaTheme="minorHAnsi"/>
          <w:noProof/>
          <w:sz w:val="22"/>
          <w:szCs w:val="22"/>
          <w:lang w:val="en-US" w:eastAsia="en-US"/>
        </w:rPr>
        <w:t xml:space="preserve">Romanian Government (2026), </w:t>
      </w:r>
      <w:r w:rsidRPr="003D13B0">
        <w:rPr>
          <w:rFonts w:eastAsiaTheme="minorHAnsi"/>
          <w:i/>
          <w:noProof/>
          <w:sz w:val="22"/>
          <w:szCs w:val="22"/>
          <w:lang w:val="en-US" w:eastAsia="en-US"/>
        </w:rPr>
        <w:t>Input from Romania for the 2026 European Semester.</w:t>
      </w:r>
    </w:p>
    <w:p w14:paraId="1C678982" w14:textId="4A9CFA91" w:rsidR="003D13B0" w:rsidRPr="003D13B0" w:rsidRDefault="003D13B0" w:rsidP="003D13B0">
      <w:pPr>
        <w:spacing w:after="120"/>
        <w:rPr>
          <w:rFonts w:eastAsiaTheme="minorHAnsi"/>
          <w:i/>
          <w:noProof/>
          <w:sz w:val="22"/>
          <w:szCs w:val="22"/>
          <w:lang w:val="en-US" w:eastAsia="en-US"/>
        </w:rPr>
      </w:pPr>
      <w:r w:rsidRPr="003D13B0">
        <w:rPr>
          <w:rFonts w:eastAsiaTheme="minorHAnsi"/>
          <w:iCs/>
          <w:noProof/>
          <w:sz w:val="22"/>
          <w:szCs w:val="22"/>
          <w:lang w:val="en-US" w:eastAsia="en-US"/>
        </w:rPr>
        <w:t>Romanian Government (2026</w:t>
      </w:r>
      <w:r w:rsidR="00A67249">
        <w:rPr>
          <w:rFonts w:eastAsiaTheme="minorHAnsi"/>
          <w:iCs/>
          <w:noProof/>
          <w:sz w:val="22"/>
          <w:szCs w:val="22"/>
          <w:lang w:val="en-US" w:eastAsia="en-US"/>
        </w:rPr>
        <w:t>a</w:t>
      </w:r>
      <w:r w:rsidRPr="003D13B0">
        <w:rPr>
          <w:rFonts w:eastAsiaTheme="minorHAnsi"/>
          <w:iCs/>
          <w:noProof/>
          <w:sz w:val="22"/>
          <w:szCs w:val="22"/>
          <w:lang w:val="en-US" w:eastAsia="en-US"/>
        </w:rPr>
        <w:t xml:space="preserve">), </w:t>
      </w:r>
      <w:r w:rsidRPr="003D13B0">
        <w:rPr>
          <w:rFonts w:eastAsiaTheme="minorHAnsi"/>
          <w:i/>
          <w:noProof/>
          <w:sz w:val="22"/>
          <w:szCs w:val="22"/>
          <w:lang w:val="en-US" w:eastAsia="en-US"/>
        </w:rPr>
        <w:t>Input from Romania for the 2026 Rule of Law Report.</w:t>
      </w:r>
    </w:p>
    <w:p w14:paraId="33ECDFCE" w14:textId="1FAEA5A5" w:rsidR="00A67249" w:rsidRPr="003D13B0" w:rsidRDefault="00A67249" w:rsidP="003D13B0">
      <w:pPr>
        <w:spacing w:after="120"/>
        <w:rPr>
          <w:rFonts w:eastAsiaTheme="minorHAnsi"/>
          <w:i/>
          <w:noProof/>
          <w:sz w:val="22"/>
          <w:szCs w:val="22"/>
          <w:lang w:val="en-US" w:eastAsia="en-US"/>
        </w:rPr>
      </w:pPr>
      <w:r w:rsidRPr="003D13B0">
        <w:rPr>
          <w:rFonts w:eastAsiaTheme="minorHAnsi"/>
          <w:iCs/>
          <w:noProof/>
          <w:sz w:val="22"/>
          <w:szCs w:val="22"/>
          <w:lang w:val="en-US" w:eastAsia="en-US"/>
        </w:rPr>
        <w:t>Romanian Government (2026</w:t>
      </w:r>
      <w:r>
        <w:rPr>
          <w:rFonts w:eastAsiaTheme="minorHAnsi"/>
          <w:iCs/>
          <w:noProof/>
          <w:sz w:val="22"/>
          <w:szCs w:val="22"/>
          <w:lang w:val="en-US" w:eastAsia="en-US"/>
        </w:rPr>
        <w:t>b</w:t>
      </w:r>
      <w:r w:rsidRPr="003D13B0">
        <w:rPr>
          <w:rFonts w:eastAsiaTheme="minorHAnsi"/>
          <w:iCs/>
          <w:noProof/>
          <w:sz w:val="22"/>
          <w:szCs w:val="22"/>
          <w:lang w:val="en-US" w:eastAsia="en-US"/>
        </w:rPr>
        <w:t xml:space="preserve">), </w:t>
      </w:r>
      <w:r w:rsidRPr="003D13B0">
        <w:rPr>
          <w:rFonts w:eastAsiaTheme="minorHAnsi"/>
          <w:i/>
          <w:noProof/>
          <w:sz w:val="22"/>
          <w:szCs w:val="22"/>
          <w:lang w:val="en-US" w:eastAsia="en-US"/>
        </w:rPr>
        <w:t>Input from Romania for the 2026 Rule of Law Report.</w:t>
      </w:r>
    </w:p>
    <w:p w14:paraId="4B1313B2" w14:textId="77777777"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Romania Government (2025), National Office for the Prevention and Combating of Money Laundering (ONPCSP - </w:t>
      </w:r>
      <w:r w:rsidRPr="003D13B0">
        <w:rPr>
          <w:rFonts w:eastAsiaTheme="minorHAnsi"/>
          <w:i/>
          <w:noProof/>
          <w:sz w:val="22"/>
          <w:szCs w:val="22"/>
          <w:lang w:val="en-US" w:eastAsia="en-US"/>
        </w:rPr>
        <w:t>Oficiul Național de Prevenire și Combatere a Spălării Banilor</w:t>
      </w:r>
      <w:r w:rsidRPr="003D13B0">
        <w:rPr>
          <w:rFonts w:eastAsiaTheme="minorHAnsi"/>
          <w:noProof/>
          <w:sz w:val="22"/>
          <w:szCs w:val="22"/>
          <w:lang w:val="en-US" w:eastAsia="en-US"/>
        </w:rPr>
        <w:t xml:space="preserve">) (2025), </w:t>
      </w:r>
      <w:r w:rsidRPr="003D13B0">
        <w:rPr>
          <w:rFonts w:eastAsiaTheme="minorHAnsi"/>
          <w:i/>
          <w:iCs/>
          <w:noProof/>
          <w:sz w:val="22"/>
          <w:szCs w:val="22"/>
          <w:lang w:val="en-US" w:eastAsia="en-US"/>
        </w:rPr>
        <w:t>The mechanism for supervising the activity of associations and foundations established under Government Ordinance No. 26/2000 on associations and foundations</w:t>
      </w:r>
      <w:r w:rsidRPr="003D13B0">
        <w:rPr>
          <w:rFonts w:eastAsiaTheme="minorHAnsi"/>
          <w:noProof/>
          <w:sz w:val="22"/>
          <w:szCs w:val="22"/>
          <w:lang w:val="en-US" w:eastAsia="en-US"/>
        </w:rPr>
        <w:t xml:space="preserve"> (</w:t>
      </w:r>
      <w:hyperlink r:id="rId44" w:history="1">
        <w:r w:rsidRPr="003D13B0">
          <w:rPr>
            <w:rFonts w:eastAsiaTheme="minorHAnsi"/>
            <w:i/>
            <w:noProof/>
            <w:color w:val="0563C1" w:themeColor="hyperlink"/>
            <w:sz w:val="22"/>
            <w:szCs w:val="22"/>
            <w:u w:val="single"/>
            <w:lang w:val="en-US" w:eastAsia="en-US"/>
          </w:rPr>
          <w:t>Mecanismul de supraveghere a activității asociațiilor și fundațiilor înființate în baza Ordonanței Guvernului nr. 26/2000 cu privire la asociații și fundații</w:t>
        </w:r>
      </w:hyperlink>
      <w:r w:rsidRPr="003D13B0">
        <w:rPr>
          <w:rFonts w:eastAsiaTheme="minorHAnsi"/>
          <w:noProof/>
          <w:sz w:val="22"/>
          <w:szCs w:val="22"/>
          <w:lang w:val="en-US" w:eastAsia="en-US"/>
        </w:rPr>
        <w:t>), 18 September 2025.</w:t>
      </w:r>
    </w:p>
    <w:p w14:paraId="35E77AD7" w14:textId="77777777"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Romanian Government (2025), </w:t>
      </w:r>
      <w:r w:rsidRPr="003D13B0">
        <w:rPr>
          <w:rFonts w:eastAsiaTheme="minorHAnsi"/>
          <w:noProof/>
          <w:sz w:val="22"/>
          <w:szCs w:val="22"/>
          <w:lang w:val="en-IE" w:eastAsia="en-US"/>
        </w:rPr>
        <w:t xml:space="preserve">Draft law for the approval of the Administrative Procedure Code, 3 November 2025, </w:t>
      </w:r>
      <w:hyperlink r:id="rId45" w:history="1">
        <w:r w:rsidRPr="003D13B0">
          <w:rPr>
            <w:rFonts w:eastAsiaTheme="minorHAnsi"/>
            <w:i/>
            <w:noProof/>
            <w:color w:val="0563C1" w:themeColor="hyperlink"/>
            <w:sz w:val="22"/>
            <w:szCs w:val="22"/>
            <w:u w:val="single"/>
            <w:lang w:val="en-US" w:eastAsia="en-US"/>
          </w:rPr>
          <w:t>Proiect de lege pentru aprobarea Codului de procedură administrative</w:t>
        </w:r>
      </w:hyperlink>
      <w:r w:rsidRPr="003D13B0">
        <w:rPr>
          <w:rFonts w:eastAsiaTheme="minorHAnsi"/>
          <w:noProof/>
          <w:sz w:val="22"/>
          <w:szCs w:val="22"/>
          <w:lang w:val="en-US" w:eastAsia="en-US"/>
        </w:rPr>
        <w:t xml:space="preserve">. </w:t>
      </w:r>
    </w:p>
    <w:p w14:paraId="6EE01C56" w14:textId="467555E8" w:rsidR="009059F0" w:rsidRPr="00C2244F" w:rsidRDefault="009059F0" w:rsidP="003D13B0">
      <w:pPr>
        <w:spacing w:after="120"/>
        <w:rPr>
          <w:rFonts w:eastAsiaTheme="minorHAnsi"/>
          <w:i/>
          <w:noProof/>
          <w:sz w:val="22"/>
          <w:szCs w:val="22"/>
          <w:lang w:val="en-US" w:eastAsia="en-US"/>
        </w:rPr>
      </w:pPr>
      <w:r w:rsidRPr="003D13B0">
        <w:rPr>
          <w:noProof/>
          <w:sz w:val="22"/>
          <w:szCs w:val="22"/>
          <w:lang w:val="en-IE" w:eastAsia="en-GB"/>
        </w:rPr>
        <w:t>Romanian Judges' Forum Association (202</w:t>
      </w:r>
      <w:r>
        <w:rPr>
          <w:noProof/>
          <w:sz w:val="22"/>
          <w:szCs w:val="22"/>
          <w:lang w:val="en-IE" w:eastAsia="en-GB"/>
        </w:rPr>
        <w:t>6</w:t>
      </w:r>
      <w:r w:rsidRPr="003D13B0">
        <w:rPr>
          <w:noProof/>
          <w:sz w:val="22"/>
          <w:szCs w:val="22"/>
          <w:lang w:val="en-IE" w:eastAsia="en-GB"/>
        </w:rPr>
        <w:t>),</w:t>
      </w:r>
      <w:r>
        <w:rPr>
          <w:noProof/>
          <w:sz w:val="22"/>
          <w:szCs w:val="22"/>
          <w:lang w:val="en-IE" w:eastAsia="en-GB"/>
        </w:rPr>
        <w:t xml:space="preserve"> </w:t>
      </w:r>
      <w:r w:rsidRPr="003D13B0">
        <w:rPr>
          <w:rFonts w:eastAsiaTheme="minorHAnsi"/>
          <w:i/>
          <w:noProof/>
          <w:sz w:val="22"/>
          <w:szCs w:val="22"/>
          <w:lang w:val="en-US" w:eastAsia="en-US"/>
        </w:rPr>
        <w:t xml:space="preserve">Input from </w:t>
      </w:r>
      <w:r>
        <w:rPr>
          <w:rFonts w:eastAsiaTheme="minorHAnsi"/>
          <w:i/>
          <w:noProof/>
          <w:sz w:val="22"/>
          <w:szCs w:val="22"/>
          <w:lang w:val="en-US" w:eastAsia="en-US"/>
        </w:rPr>
        <w:t>the Romanian Judges’ Forum Association</w:t>
      </w:r>
      <w:r w:rsidRPr="003D13B0">
        <w:rPr>
          <w:rFonts w:eastAsiaTheme="minorHAnsi"/>
          <w:i/>
          <w:noProof/>
          <w:sz w:val="22"/>
          <w:szCs w:val="22"/>
          <w:lang w:val="en-US" w:eastAsia="en-US"/>
        </w:rPr>
        <w:t xml:space="preserve"> for the 2026 Rule of Law Report.</w:t>
      </w:r>
    </w:p>
    <w:p w14:paraId="699664B2" w14:textId="4E209B3E" w:rsidR="003D13B0" w:rsidRPr="003D13B0" w:rsidRDefault="003D13B0" w:rsidP="003D13B0">
      <w:pPr>
        <w:spacing w:after="120"/>
        <w:rPr>
          <w:rFonts w:eastAsiaTheme="minorHAnsi"/>
          <w:noProof/>
          <w:sz w:val="22"/>
          <w:szCs w:val="22"/>
          <w:lang w:val="en-IE" w:eastAsia="en-US"/>
        </w:rPr>
      </w:pPr>
      <w:r w:rsidRPr="003D13B0">
        <w:rPr>
          <w:noProof/>
          <w:sz w:val="22"/>
          <w:szCs w:val="22"/>
          <w:lang w:val="en-IE" w:eastAsia="en-GB"/>
        </w:rPr>
        <w:t xml:space="preserve">Romanian Judges' Forum Association (2025), </w:t>
      </w:r>
      <w:r w:rsidRPr="00A96F69">
        <w:rPr>
          <w:rFonts w:eastAsiaTheme="minorHAnsi"/>
          <w:i/>
          <w:iCs/>
          <w:noProof/>
          <w:sz w:val="22"/>
          <w:szCs w:val="22"/>
          <w:lang w:val="en-IE" w:eastAsia="en-US"/>
        </w:rPr>
        <w:t>Some Effects of the New Justice Laws</w:t>
      </w:r>
      <w:r w:rsidRPr="003D13B0">
        <w:rPr>
          <w:rFonts w:eastAsiaTheme="minorHAnsi"/>
          <w:noProof/>
          <w:sz w:val="22"/>
          <w:szCs w:val="22"/>
          <w:lang w:val="en-IE" w:eastAsia="en-US"/>
        </w:rPr>
        <w:t>.</w:t>
      </w:r>
      <w:r w:rsidR="00620288">
        <w:rPr>
          <w:rFonts w:eastAsiaTheme="minorHAnsi"/>
          <w:noProof/>
          <w:sz w:val="22"/>
          <w:szCs w:val="22"/>
          <w:lang w:val="en-IE" w:eastAsia="en-US"/>
        </w:rPr>
        <w:t xml:space="preserve"> </w:t>
      </w:r>
      <w:r w:rsidR="00620288" w:rsidRPr="00620288">
        <w:rPr>
          <w:rFonts w:eastAsiaTheme="minorHAnsi"/>
          <w:noProof/>
          <w:sz w:val="22"/>
          <w:szCs w:val="22"/>
          <w:lang w:val="en-IE" w:eastAsia="en-US"/>
        </w:rPr>
        <w:t>Judges Forum Review (nr. 1/2025)</w:t>
      </w:r>
      <w:r w:rsidR="008B0AF1">
        <w:rPr>
          <w:rFonts w:eastAsiaTheme="minorHAnsi"/>
          <w:noProof/>
          <w:sz w:val="22"/>
          <w:szCs w:val="22"/>
          <w:lang w:val="en-IE" w:eastAsia="en-US"/>
        </w:rPr>
        <w:t xml:space="preserve">. </w:t>
      </w:r>
      <w:hyperlink r:id="rId46" w:history="1">
        <w:r w:rsidR="008B0AF1" w:rsidRPr="008B0AF1">
          <w:rPr>
            <w:rStyle w:val="Hyperlink"/>
            <w:rFonts w:eastAsiaTheme="minorHAnsi"/>
            <w:noProof/>
            <w:sz w:val="22"/>
            <w:szCs w:val="22"/>
            <w:lang w:eastAsia="en-US"/>
          </w:rPr>
          <w:t>https://papers.ssrn.com/sol3/papers.cfm?abstract_id=5419694</w:t>
        </w:r>
      </w:hyperlink>
      <w:r w:rsidR="008B0AF1">
        <w:rPr>
          <w:rFonts w:eastAsiaTheme="minorHAnsi"/>
          <w:noProof/>
          <w:sz w:val="22"/>
          <w:szCs w:val="22"/>
          <w:lang w:val="en-IE" w:eastAsia="en-US"/>
        </w:rPr>
        <w:t xml:space="preserve">. </w:t>
      </w:r>
    </w:p>
    <w:p w14:paraId="49A1EB36" w14:textId="77777777" w:rsidR="003D13B0" w:rsidRPr="003D13B0" w:rsidRDefault="003D13B0" w:rsidP="003D13B0">
      <w:pPr>
        <w:spacing w:after="120"/>
        <w:rPr>
          <w:rFonts w:eastAsiaTheme="minorHAnsi"/>
          <w:noProof/>
          <w:sz w:val="22"/>
          <w:szCs w:val="22"/>
          <w:lang w:val="en-US" w:eastAsia="en-US"/>
        </w:rPr>
      </w:pPr>
      <w:r w:rsidRPr="003D13B0">
        <w:rPr>
          <w:rFonts w:eastAsiaTheme="minorHAnsi"/>
          <w:noProof/>
          <w:sz w:val="22"/>
          <w:szCs w:val="22"/>
          <w:lang w:val="en-US" w:eastAsia="en-US"/>
        </w:rPr>
        <w:t xml:space="preserve">Superior Council of Magistracy, Decision of the Section for Judges no. 144/06.02.2026 to consult the judges on main issues faced in the judiciary, see </w:t>
      </w:r>
      <w:hyperlink r:id="rId47" w:history="1">
        <w:r w:rsidRPr="003D13B0">
          <w:rPr>
            <w:rFonts w:eastAsiaTheme="minorHAnsi"/>
            <w:noProof/>
            <w:color w:val="0563C1" w:themeColor="hyperlink"/>
            <w:sz w:val="22"/>
            <w:szCs w:val="22"/>
            <w:u w:val="single"/>
            <w:lang w:val="en-US" w:eastAsia="en-US"/>
          </w:rPr>
          <w:t>SCM - INFORMATION on the methodology of the questionnaire completed by judges on current issues in the judicial system</w:t>
        </w:r>
      </w:hyperlink>
      <w:r w:rsidRPr="003D13B0">
        <w:rPr>
          <w:rFonts w:eastAsiaTheme="minorHAnsi"/>
          <w:noProof/>
          <w:sz w:val="22"/>
          <w:szCs w:val="22"/>
          <w:lang w:val="en-US" w:eastAsia="en-US"/>
        </w:rPr>
        <w:t xml:space="preserve"> and </w:t>
      </w:r>
      <w:hyperlink r:id="rId48" w:history="1">
        <w:r w:rsidRPr="003D13B0">
          <w:rPr>
            <w:rFonts w:eastAsiaTheme="minorHAnsi"/>
            <w:noProof/>
            <w:color w:val="0563C1" w:themeColor="hyperlink"/>
            <w:sz w:val="22"/>
            <w:szCs w:val="22"/>
            <w:u w:val="single"/>
            <w:lang w:val="en-US" w:eastAsia="en-US"/>
          </w:rPr>
          <w:t>EMAP Portal</w:t>
        </w:r>
      </w:hyperlink>
      <w:r w:rsidRPr="003D13B0">
        <w:rPr>
          <w:rFonts w:eastAsiaTheme="minorHAnsi"/>
          <w:noProof/>
          <w:sz w:val="22"/>
          <w:szCs w:val="22"/>
          <w:lang w:val="en-US" w:eastAsia="en-US"/>
        </w:rPr>
        <w:t>.</w:t>
      </w:r>
    </w:p>
    <w:p w14:paraId="63C95BB2" w14:textId="77777777" w:rsidR="003D13B0" w:rsidRPr="003D13B0" w:rsidRDefault="003D13B0" w:rsidP="003D13B0">
      <w:pPr>
        <w:spacing w:after="120"/>
        <w:rPr>
          <w:noProof/>
          <w:sz w:val="22"/>
          <w:szCs w:val="22"/>
          <w:lang w:val="en-IE" w:eastAsia="en-GB"/>
        </w:rPr>
      </w:pPr>
      <w:r w:rsidRPr="003D13B0">
        <w:rPr>
          <w:noProof/>
          <w:sz w:val="22"/>
          <w:szCs w:val="22"/>
          <w:lang w:val="en-IE" w:eastAsia="en-GB"/>
        </w:rPr>
        <w:t xml:space="preserve">Superior Council of Magistracy, Questionnaire sent to judges in December 2025, </w:t>
      </w:r>
      <w:hyperlink r:id="rId49" w:history="1">
        <w:r w:rsidRPr="003D13B0">
          <w:rPr>
            <w:noProof/>
            <w:color w:val="0563C1" w:themeColor="hyperlink"/>
            <w:sz w:val="22"/>
            <w:szCs w:val="22"/>
            <w:u w:val="single"/>
            <w:lang w:val="en-IE" w:eastAsia="en-GB"/>
          </w:rPr>
          <w:t>EMAP Portal</w:t>
        </w:r>
      </w:hyperlink>
      <w:r w:rsidRPr="003D13B0">
        <w:rPr>
          <w:noProof/>
          <w:sz w:val="22"/>
          <w:szCs w:val="22"/>
          <w:lang w:val="en-IE" w:eastAsia="en-GB"/>
        </w:rPr>
        <w:t>.</w:t>
      </w:r>
    </w:p>
    <w:p w14:paraId="4493631A" w14:textId="65E307CF" w:rsidR="00F049FD" w:rsidRPr="003D13B0" w:rsidRDefault="00F049FD" w:rsidP="003D13B0">
      <w:pPr>
        <w:spacing w:after="120"/>
        <w:rPr>
          <w:noProof/>
          <w:sz w:val="22"/>
          <w:szCs w:val="22"/>
          <w:lang w:val="en-IE" w:eastAsia="en-GB"/>
        </w:rPr>
      </w:pPr>
      <w:r>
        <w:rPr>
          <w:noProof/>
          <w:sz w:val="22"/>
          <w:szCs w:val="22"/>
          <w:lang w:val="en-IE" w:eastAsia="en-GB"/>
        </w:rPr>
        <w:t>Updated</w:t>
      </w:r>
      <w:r w:rsidR="00B4611B">
        <w:rPr>
          <w:noProof/>
          <w:sz w:val="22"/>
          <w:szCs w:val="22"/>
          <w:lang w:val="en-IE" w:eastAsia="en-GB"/>
        </w:rPr>
        <w:t xml:space="preserve"> </w:t>
      </w:r>
      <w:r w:rsidR="00965599">
        <w:rPr>
          <w:noProof/>
          <w:sz w:val="22"/>
          <w:szCs w:val="22"/>
          <w:lang w:val="en-IE" w:eastAsia="en-GB"/>
        </w:rPr>
        <w:t>media ownership transparency</w:t>
      </w:r>
      <w:r>
        <w:rPr>
          <w:noProof/>
          <w:sz w:val="22"/>
          <w:szCs w:val="22"/>
          <w:lang w:val="en-IE" w:eastAsia="en-GB"/>
        </w:rPr>
        <w:t xml:space="preserve"> </w:t>
      </w:r>
      <w:r w:rsidR="00B4611B">
        <w:rPr>
          <w:noProof/>
          <w:sz w:val="22"/>
          <w:szCs w:val="22"/>
          <w:lang w:val="en-IE" w:eastAsia="en-GB"/>
        </w:rPr>
        <w:t>list</w:t>
      </w:r>
      <w:r w:rsidR="00965599">
        <w:rPr>
          <w:noProof/>
          <w:sz w:val="22"/>
          <w:szCs w:val="22"/>
          <w:lang w:val="en-IE" w:eastAsia="en-GB"/>
        </w:rPr>
        <w:t xml:space="preserve"> for audiovisual providers,</w:t>
      </w:r>
      <w:r w:rsidR="00B4611B">
        <w:rPr>
          <w:noProof/>
          <w:sz w:val="22"/>
          <w:szCs w:val="22"/>
          <w:lang w:val="en-IE" w:eastAsia="en-GB"/>
        </w:rPr>
        <w:t xml:space="preserve"> published by the CNA (2026) </w:t>
      </w:r>
      <w:hyperlink r:id="rId50" w:history="1">
        <w:r w:rsidR="00691371" w:rsidRPr="009133C5">
          <w:rPr>
            <w:rStyle w:val="Hyperlink"/>
            <w:noProof/>
            <w:sz w:val="22"/>
            <w:szCs w:val="22"/>
          </w:rPr>
          <w:t>www.cna.ro/a-situatii-privind-licentele-audiovizuale-avizele-de-furnizare-a-serviciilor-media-audiovizuale-la-cerere-avizele-de-retransmisie-si-autorizatiile-de-re-fl7wut28fqxu5c0y94sohaf7/</w:t>
        </w:r>
      </w:hyperlink>
      <w:r w:rsidR="00691371">
        <w:rPr>
          <w:noProof/>
          <w:sz w:val="22"/>
          <w:szCs w:val="22"/>
        </w:rPr>
        <w:t xml:space="preserve"> </w:t>
      </w:r>
      <w:r w:rsidR="00B4611B" w:rsidRPr="00C2244F">
        <w:rPr>
          <w:noProof/>
          <w:sz w:val="22"/>
          <w:szCs w:val="22"/>
        </w:rPr>
        <w:t xml:space="preserve">   </w:t>
      </w:r>
    </w:p>
    <w:p w14:paraId="3ECF96C7" w14:textId="77777777" w:rsidR="003D13B0" w:rsidRPr="003D13B0" w:rsidRDefault="003D13B0" w:rsidP="003D13B0">
      <w:pPr>
        <w:spacing w:after="160" w:line="259" w:lineRule="auto"/>
        <w:jc w:val="left"/>
        <w:rPr>
          <w:b/>
          <w:noProof/>
          <w:sz w:val="22"/>
          <w:szCs w:val="22"/>
          <w:lang w:val="en-IE" w:eastAsia="en-GB"/>
        </w:rPr>
      </w:pPr>
    </w:p>
    <w:p w14:paraId="3CD82556" w14:textId="77777777" w:rsidR="003D13B0" w:rsidRPr="003D13B0" w:rsidRDefault="003D13B0" w:rsidP="003D13B0">
      <w:pPr>
        <w:spacing w:after="160" w:line="259" w:lineRule="auto"/>
        <w:jc w:val="left"/>
        <w:rPr>
          <w:b/>
          <w:noProof/>
          <w:szCs w:val="24"/>
          <w:lang w:val="en-IE" w:eastAsia="en-GB"/>
        </w:rPr>
      </w:pPr>
      <w:r w:rsidRPr="003D13B0">
        <w:rPr>
          <w:b/>
          <w:noProof/>
          <w:szCs w:val="24"/>
          <w:lang w:val="en-IE" w:eastAsia="en-GB"/>
        </w:rPr>
        <w:br w:type="page"/>
      </w:r>
    </w:p>
    <w:p w14:paraId="4B1D344D" w14:textId="77777777" w:rsidR="003D13B0" w:rsidRPr="003D13B0" w:rsidRDefault="003D13B0" w:rsidP="003D13B0">
      <w:pPr>
        <w:spacing w:after="0"/>
        <w:rPr>
          <w:b/>
          <w:noProof/>
          <w:sz w:val="20"/>
          <w:szCs w:val="24"/>
          <w:lang w:val="en-IE" w:eastAsia="en-GB"/>
        </w:rPr>
      </w:pPr>
      <w:r w:rsidRPr="003D13B0">
        <w:rPr>
          <w:b/>
          <w:noProof/>
          <w:szCs w:val="24"/>
          <w:lang w:val="en-IE" w:eastAsia="en-GB"/>
        </w:rPr>
        <w:t>Annex II: Country visit to Romania</w:t>
      </w:r>
    </w:p>
    <w:p w14:paraId="3A6C4291" w14:textId="77777777" w:rsidR="003D13B0" w:rsidRPr="003D13B0" w:rsidRDefault="003D13B0" w:rsidP="003D13B0">
      <w:pPr>
        <w:spacing w:after="0"/>
        <w:rPr>
          <w:b/>
          <w:noProof/>
          <w:sz w:val="20"/>
          <w:szCs w:val="24"/>
          <w:lang w:val="en-IE" w:eastAsia="en-GB"/>
        </w:rPr>
      </w:pPr>
    </w:p>
    <w:p w14:paraId="66429149" w14:textId="77777777" w:rsidR="003D13B0" w:rsidRPr="003D13B0" w:rsidRDefault="003D13B0" w:rsidP="003D13B0">
      <w:pPr>
        <w:spacing w:after="120" w:line="264" w:lineRule="auto"/>
        <w:rPr>
          <w:noProof/>
          <w:shd w:val="clear" w:color="auto" w:fill="FFFFFF"/>
          <w:lang w:val="en-IE" w:eastAsia="en-GB"/>
        </w:rPr>
      </w:pPr>
      <w:r w:rsidRPr="003D13B0">
        <w:rPr>
          <w:noProof/>
          <w:lang w:val="en-IE" w:eastAsia="en-GB"/>
        </w:rPr>
        <w:t>The Commission services held virtual meetings in February 2026 with:</w:t>
      </w:r>
    </w:p>
    <w:p w14:paraId="22CC8AD8"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Active Watch</w:t>
      </w:r>
    </w:p>
    <w:p w14:paraId="1BF73479"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fr-BE" w:eastAsia="en-US"/>
        </w:rPr>
      </w:pPr>
      <w:r w:rsidRPr="003D13B0">
        <w:rPr>
          <w:rFonts w:eastAsiaTheme="minorHAnsi" w:cstheme="minorBidi"/>
          <w:noProof/>
          <w:szCs w:val="24"/>
          <w:bdr w:val="none" w:sz="0" w:space="0" w:color="auto" w:frame="1"/>
          <w:lang w:val="fr-BE" w:eastAsia="en-US"/>
        </w:rPr>
        <w:t>Agentia Nationala pentru Achizitii Publice (ANAP)</w:t>
      </w:r>
    </w:p>
    <w:p w14:paraId="75A4BBAD"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ANABI</w:t>
      </w:r>
    </w:p>
    <w:p w14:paraId="4BC0E51E"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Asociația Forumului Judecătorilor din România</w:t>
      </w:r>
    </w:p>
    <w:p w14:paraId="422280BF"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Asociația „Inițiativa pentru justiție”</w:t>
      </w:r>
    </w:p>
    <w:p w14:paraId="40B1F8DA" w14:textId="77777777" w:rsidR="003D13B0" w:rsidRPr="003E2D9E" w:rsidRDefault="003D13B0" w:rsidP="66C0A495">
      <w:pPr>
        <w:numPr>
          <w:ilvl w:val="0"/>
          <w:numId w:val="21"/>
        </w:numPr>
        <w:spacing w:line="256" w:lineRule="auto"/>
        <w:ind w:left="714" w:hanging="357"/>
        <w:contextualSpacing/>
        <w:rPr>
          <w:rFonts w:eastAsiaTheme="minorEastAsia" w:cstheme="minorBidi"/>
          <w:noProof/>
          <w:bdr w:val="none" w:sz="0" w:space="0" w:color="auto" w:frame="1"/>
          <w:lang w:val="es-CU" w:eastAsia="en-US"/>
        </w:rPr>
      </w:pPr>
      <w:r w:rsidRPr="003E2D9E">
        <w:rPr>
          <w:rFonts w:eastAsiaTheme="minorEastAsia" w:cstheme="minorBidi"/>
          <w:noProof/>
          <w:lang w:val="es-CU" w:eastAsia="en-US"/>
        </w:rPr>
        <w:t>Asociația Judecătorilor pentru Apărarea Drepturilor Omului</w:t>
      </w:r>
    </w:p>
    <w:p w14:paraId="06A49865"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2"/>
          <w:lang w:val="en-IE" w:eastAsia="en-US"/>
        </w:rPr>
        <w:t xml:space="preserve">Asociația Magistraților din România </w:t>
      </w:r>
    </w:p>
    <w:p w14:paraId="7376FBF5"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it-IT" w:eastAsia="en-US"/>
        </w:rPr>
      </w:pPr>
      <w:r w:rsidRPr="003D13B0">
        <w:rPr>
          <w:rFonts w:eastAsiaTheme="minorHAnsi" w:cstheme="minorBidi"/>
          <w:noProof/>
          <w:szCs w:val="22"/>
          <w:lang w:val="it-IT" w:eastAsia="en-US"/>
        </w:rPr>
        <w:t>Asociatia Mișcarea pentru apărarea statutului procurorilor</w:t>
      </w:r>
    </w:p>
    <w:p w14:paraId="36ACD8B8"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2"/>
          <w:lang w:val="en-IE" w:eastAsia="en-US"/>
        </w:rPr>
        <w:t>Asociaţia Procurorilor din România</w:t>
      </w:r>
    </w:p>
    <w:p w14:paraId="2002E848"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Centrul de Resurse Juridice</w:t>
      </w:r>
    </w:p>
    <w:p w14:paraId="2A95D90A"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Center for Public Innovation</w:t>
      </w:r>
    </w:p>
    <w:p w14:paraId="51B42807"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Civic Radauti Association</w:t>
      </w:r>
    </w:p>
    <w:p w14:paraId="077074C1"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Consiliul National al Audiovizualului</w:t>
      </w:r>
    </w:p>
    <w:p w14:paraId="003BCC49"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2"/>
          <w:lang w:val="en-IE" w:eastAsia="en-US"/>
        </w:rPr>
        <w:t>Court of Accounts</w:t>
      </w:r>
    </w:p>
    <w:p w14:paraId="1118BA87"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 xml:space="preserve">Expert Forum </w:t>
      </w:r>
    </w:p>
    <w:p w14:paraId="7CB894BF"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Freedom House</w:t>
      </w:r>
    </w:p>
    <w:p w14:paraId="502F6B70"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it-IT" w:eastAsia="en-US"/>
        </w:rPr>
      </w:pPr>
      <w:r w:rsidRPr="003D13B0">
        <w:rPr>
          <w:rFonts w:eastAsia="Calibri" w:cstheme="minorBidi"/>
          <w:noProof/>
          <w:szCs w:val="22"/>
          <w:lang w:val="it-IT" w:eastAsia="en-US"/>
        </w:rPr>
        <w:t>Fundația pentru Dezvoltarea Societății Civile (FDSC)</w:t>
      </w:r>
    </w:p>
    <w:p w14:paraId="46398413"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Funky Citizens</w:t>
      </w:r>
    </w:p>
    <w:p w14:paraId="278CA552"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G4Media</w:t>
      </w:r>
    </w:p>
    <w:p w14:paraId="59AEFB27"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High Court of Cassation and Justice</w:t>
      </w:r>
    </w:p>
    <w:p w14:paraId="28E5E222"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Judicial Inspection</w:t>
      </w:r>
    </w:p>
    <w:p w14:paraId="1620F976"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Legislative Council</w:t>
      </w:r>
    </w:p>
    <w:p w14:paraId="0A0EE5CF"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 xml:space="preserve">Ministry of Justice </w:t>
      </w:r>
    </w:p>
    <w:p w14:paraId="7892E3AD"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National Directorate against Corruption (DNA)</w:t>
      </w:r>
    </w:p>
    <w:p w14:paraId="36356DDE"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National Institute of the Magistracy</w:t>
      </w:r>
    </w:p>
    <w:p w14:paraId="3AC4A79A"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National Integrity Agency</w:t>
      </w:r>
    </w:p>
    <w:p w14:paraId="255EA380"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National Radio (RRA)</w:t>
      </w:r>
    </w:p>
    <w:p w14:paraId="3AB33633"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National TV (TVR)</w:t>
      </w:r>
    </w:p>
    <w:p w14:paraId="08330E0F"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Ombudsperson</w:t>
      </w:r>
    </w:p>
    <w:p w14:paraId="29AF0C86"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Prosecutor General attached to the HCCJ</w:t>
      </w:r>
    </w:p>
    <w:p w14:paraId="3B803790"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Romanian Business Leaders</w:t>
      </w:r>
    </w:p>
    <w:p w14:paraId="40E062B5"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Romanian Institute for Human Rights (IRDO)</w:t>
      </w:r>
    </w:p>
    <w:p w14:paraId="7B3799F5"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Secretariat General of the Government</w:t>
      </w:r>
    </w:p>
    <w:p w14:paraId="1F1A54E6"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n-IE" w:eastAsia="en-US"/>
        </w:rPr>
      </w:pPr>
      <w:r w:rsidRPr="003D13B0">
        <w:rPr>
          <w:rFonts w:eastAsiaTheme="minorHAnsi" w:cstheme="minorBidi"/>
          <w:noProof/>
          <w:szCs w:val="24"/>
          <w:bdr w:val="none" w:sz="0" w:space="0" w:color="auto" w:frame="1"/>
          <w:lang w:val="en-IE" w:eastAsia="en-US"/>
        </w:rPr>
        <w:t xml:space="preserve">Superior Council of the Magistracy </w:t>
      </w:r>
    </w:p>
    <w:p w14:paraId="5037D000" w14:textId="77777777" w:rsidR="003D13B0" w:rsidRPr="003D13B0" w:rsidRDefault="003D13B0" w:rsidP="003D13B0">
      <w:pPr>
        <w:numPr>
          <w:ilvl w:val="0"/>
          <w:numId w:val="21"/>
        </w:numPr>
        <w:spacing w:line="256" w:lineRule="auto"/>
        <w:ind w:left="714" w:hanging="357"/>
        <w:contextualSpacing/>
        <w:rPr>
          <w:rFonts w:eastAsiaTheme="minorHAnsi" w:cstheme="minorBidi"/>
          <w:noProof/>
          <w:szCs w:val="24"/>
          <w:bdr w:val="none" w:sz="0" w:space="0" w:color="auto" w:frame="1"/>
          <w:lang w:val="es-ES" w:eastAsia="en-US"/>
        </w:rPr>
      </w:pPr>
      <w:r w:rsidRPr="003D13B0">
        <w:rPr>
          <w:rFonts w:eastAsiaTheme="minorHAnsi" w:cstheme="minorBidi"/>
          <w:noProof/>
          <w:szCs w:val="22"/>
          <w:lang w:val="es-ES" w:eastAsia="en-US"/>
        </w:rPr>
        <w:t>Uniunea Nationala a Judecatorilor din Romania (UNJR)</w:t>
      </w:r>
    </w:p>
    <w:p w14:paraId="08335EAE" w14:textId="77777777" w:rsidR="003D13B0" w:rsidRPr="003D13B0" w:rsidRDefault="003D13B0" w:rsidP="003D13B0">
      <w:pPr>
        <w:spacing w:after="120" w:line="264" w:lineRule="auto"/>
        <w:rPr>
          <w:noProof/>
          <w:shd w:val="clear" w:color="auto" w:fill="FFFFFF"/>
          <w:lang w:val="es-ES" w:eastAsia="en-GB"/>
        </w:rPr>
      </w:pPr>
    </w:p>
    <w:p w14:paraId="35C3E20C" w14:textId="77777777" w:rsidR="003D13B0" w:rsidRPr="003D13B0" w:rsidRDefault="003D13B0" w:rsidP="003D13B0">
      <w:pPr>
        <w:spacing w:after="120" w:line="264" w:lineRule="auto"/>
        <w:rPr>
          <w:noProof/>
          <w:lang w:val="en-IE" w:eastAsia="en-GB"/>
        </w:rPr>
      </w:pPr>
      <w:r w:rsidRPr="003D13B0">
        <w:rPr>
          <w:noProof/>
          <w:lang w:val="en-IE" w:eastAsia="en-GB"/>
        </w:rPr>
        <w:t xml:space="preserve">* The Commission also met the following organisations in a number of horizontal meetings: </w:t>
      </w:r>
    </w:p>
    <w:p w14:paraId="36C3BFF9"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Civil Liberties Union for Europe</w:t>
      </w:r>
    </w:p>
    <w:p w14:paraId="0EA89697"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Civil Society Europe</w:t>
      </w:r>
    </w:p>
    <w:p w14:paraId="74A5DE3E"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End FGM EU</w:t>
      </w:r>
    </w:p>
    <w:p w14:paraId="1A4BE3FE"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European Civic Forum</w:t>
      </w:r>
    </w:p>
    <w:p w14:paraId="6C76374D"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European Partnership for Democracy</w:t>
      </w:r>
    </w:p>
    <w:p w14:paraId="0E346F60"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Human Rights Watch</w:t>
      </w:r>
    </w:p>
    <w:p w14:paraId="0CA166A8"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ILGA-Europe</w:t>
      </w:r>
    </w:p>
    <w:p w14:paraId="26EBF806"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International Federation for Human Rights</w:t>
      </w:r>
    </w:p>
    <w:p w14:paraId="4596D279"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Philea - Philanthropy Europe Association</w:t>
      </w:r>
    </w:p>
    <w:p w14:paraId="4615530F" w14:textId="77777777" w:rsidR="003D13B0" w:rsidRPr="003D13B0" w:rsidRDefault="003D13B0" w:rsidP="003D13B0">
      <w:pPr>
        <w:numPr>
          <w:ilvl w:val="0"/>
          <w:numId w:val="22"/>
        </w:numPr>
        <w:spacing w:after="0" w:line="264" w:lineRule="auto"/>
        <w:rPr>
          <w:rFonts w:eastAsiaTheme="minorHAnsi"/>
          <w:noProof/>
          <w:szCs w:val="22"/>
          <w:lang w:val="en-US" w:eastAsia="en-GB"/>
        </w:rPr>
      </w:pPr>
      <w:r w:rsidRPr="003D13B0">
        <w:rPr>
          <w:rFonts w:eastAsiaTheme="minorHAnsi"/>
          <w:noProof/>
          <w:szCs w:val="22"/>
          <w:lang w:val="en-US" w:eastAsia="en-GB"/>
        </w:rPr>
        <w:t>Transparency International EU</w:t>
      </w:r>
    </w:p>
    <w:p w14:paraId="3B203DE4" w14:textId="77777777" w:rsidR="003D13B0" w:rsidRPr="003D13B0" w:rsidRDefault="003D13B0" w:rsidP="003D13B0">
      <w:pPr>
        <w:spacing w:after="0" w:line="264" w:lineRule="auto"/>
        <w:rPr>
          <w:noProof/>
          <w:lang w:val="en-IE" w:eastAsia="en-GB"/>
        </w:rPr>
      </w:pPr>
    </w:p>
    <w:p w14:paraId="5EF32CB1" w14:textId="77777777" w:rsidR="003D13B0" w:rsidRPr="003D13B0" w:rsidRDefault="003D13B0" w:rsidP="003D13B0">
      <w:pPr>
        <w:spacing w:after="120"/>
        <w:ind w:left="284" w:hanging="284"/>
        <w:rPr>
          <w:noProof/>
          <w:szCs w:val="22"/>
          <w:lang w:val="en-IE" w:eastAsia="en-GB"/>
        </w:rPr>
      </w:pPr>
    </w:p>
    <w:p w14:paraId="32066C7A" w14:textId="77777777" w:rsidR="003D13B0" w:rsidRPr="003D13B0" w:rsidRDefault="003D13B0" w:rsidP="003D13B0">
      <w:pPr>
        <w:spacing w:after="0"/>
        <w:rPr>
          <w:noProof/>
          <w:lang w:val="en-IE" w:eastAsia="en-GB"/>
        </w:rPr>
      </w:pPr>
    </w:p>
    <w:p w14:paraId="3B7C468F" w14:textId="77777777" w:rsidR="003D13B0" w:rsidRPr="003D13B0" w:rsidRDefault="003D13B0" w:rsidP="003D13B0">
      <w:pPr>
        <w:rPr>
          <w:rFonts w:eastAsiaTheme="minorHAnsi" w:cstheme="minorBidi"/>
          <w:noProof/>
          <w:szCs w:val="22"/>
          <w:lang w:val="en-IE" w:eastAsia="en-US"/>
        </w:rPr>
      </w:pPr>
    </w:p>
    <w:p w14:paraId="29ABA54E" w14:textId="77777777" w:rsidR="003D13B0" w:rsidRPr="003D13B0" w:rsidRDefault="003D13B0" w:rsidP="003D13B0">
      <w:pPr>
        <w:rPr>
          <w:rFonts w:eastAsiaTheme="minorHAnsi" w:cstheme="minorBidi"/>
          <w:noProof/>
          <w:szCs w:val="22"/>
          <w:lang w:val="en-IE" w:eastAsia="en-US"/>
        </w:rPr>
      </w:pPr>
    </w:p>
    <w:p w14:paraId="7C71BB12" w14:textId="77777777" w:rsidR="00CD604B" w:rsidRDefault="00CD604B" w:rsidP="00B51782">
      <w:pPr>
        <w:rPr>
          <w:noProof/>
        </w:rPr>
      </w:pPr>
    </w:p>
    <w:sectPr w:rsidR="00CD604B" w:rsidSect="003D13B0">
      <w:headerReference w:type="even" r:id="rId51"/>
      <w:headerReference w:type="default" r:id="rId52"/>
      <w:footerReference w:type="even" r:id="rId53"/>
      <w:footerReference w:type="default" r:id="rId54"/>
      <w:headerReference w:type="first" r:id="rId55"/>
      <w:footerReference w:type="first" r:id="rId56"/>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B3C33" w14:textId="77777777" w:rsidR="00A26A0E" w:rsidRDefault="00A26A0E">
      <w:pPr>
        <w:spacing w:after="0"/>
      </w:pPr>
      <w:r>
        <w:separator/>
      </w:r>
    </w:p>
  </w:endnote>
  <w:endnote w:type="continuationSeparator" w:id="0">
    <w:p w14:paraId="0AAC19CA" w14:textId="77777777" w:rsidR="00A26A0E" w:rsidRDefault="00A26A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EA283" w14:textId="703DF399" w:rsidR="00460DC7" w:rsidRPr="00460DC7" w:rsidRDefault="00460DC7" w:rsidP="00460DC7">
    <w:pPr>
      <w:pStyle w:val="FooterCoverPage"/>
      <w:rPr>
        <w:rFonts w:ascii="Arial" w:hAnsi="Arial" w:cs="Arial"/>
        <w:b/>
        <w:sz w:val="48"/>
      </w:rPr>
    </w:pPr>
    <w:r w:rsidRPr="00460DC7">
      <w:rPr>
        <w:rFonts w:ascii="Arial" w:hAnsi="Arial" w:cs="Arial"/>
        <w:b/>
        <w:sz w:val="48"/>
      </w:rPr>
      <w:t>EN</w:t>
    </w:r>
    <w:r w:rsidRPr="00460DC7">
      <w:rPr>
        <w:rFonts w:ascii="Arial" w:hAnsi="Arial" w:cs="Arial"/>
        <w:b/>
        <w:sz w:val="48"/>
      </w:rPr>
      <w:tab/>
    </w:r>
    <w:r w:rsidRPr="00460DC7">
      <w:rPr>
        <w:rFonts w:ascii="Arial" w:hAnsi="Arial" w:cs="Arial"/>
        <w:b/>
        <w:sz w:val="48"/>
      </w:rPr>
      <w:tab/>
    </w:r>
    <w:r w:rsidRPr="00460DC7">
      <w:tab/>
    </w:r>
    <w:r w:rsidRPr="00460DC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BB79E" w14:textId="7D69D7D2" w:rsidR="00460DC7" w:rsidRPr="00460DC7" w:rsidRDefault="00460DC7" w:rsidP="00460DC7">
    <w:pPr>
      <w:pStyle w:val="FooterCoverPage"/>
      <w:rPr>
        <w:rFonts w:ascii="Arial" w:hAnsi="Arial" w:cs="Arial"/>
        <w:b/>
        <w:sz w:val="48"/>
      </w:rPr>
    </w:pPr>
    <w:r w:rsidRPr="00460DC7">
      <w:rPr>
        <w:rFonts w:ascii="Arial" w:hAnsi="Arial" w:cs="Arial"/>
        <w:b/>
        <w:sz w:val="48"/>
      </w:rPr>
      <w:t>EN</w:t>
    </w:r>
    <w:r w:rsidRPr="00460DC7">
      <w:rPr>
        <w:rFonts w:ascii="Arial" w:hAnsi="Arial" w:cs="Arial"/>
        <w:b/>
        <w:sz w:val="48"/>
      </w:rPr>
      <w:tab/>
    </w:r>
    <w:r w:rsidRPr="00460DC7">
      <w:rPr>
        <w:rFonts w:ascii="Arial" w:hAnsi="Arial" w:cs="Arial"/>
        <w:b/>
        <w:sz w:val="48"/>
      </w:rPr>
      <w:tab/>
    </w:r>
    <w:r w:rsidRPr="00460DC7">
      <w:tab/>
    </w:r>
    <w:r w:rsidRPr="00460DC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D518F" w14:textId="77777777" w:rsidR="00460DC7" w:rsidRPr="00460DC7" w:rsidRDefault="00460DC7" w:rsidP="00460DC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7850B" w14:textId="77777777" w:rsidR="003D13B0" w:rsidRDefault="003D13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10935CB6" w14:textId="0BEDD6C8" w:rsidR="003D13B0" w:rsidRPr="003D13B0" w:rsidRDefault="003D13B0">
        <w:pPr>
          <w:pStyle w:val="Footer"/>
          <w:jc w:val="center"/>
          <w:rPr>
            <w:sz w:val="24"/>
            <w:szCs w:val="24"/>
          </w:rPr>
        </w:pPr>
        <w:r w:rsidRPr="003D13B0">
          <w:rPr>
            <w:sz w:val="24"/>
            <w:szCs w:val="24"/>
          </w:rPr>
          <w:fldChar w:fldCharType="begin"/>
        </w:r>
        <w:r w:rsidRPr="003D13B0">
          <w:rPr>
            <w:sz w:val="24"/>
            <w:szCs w:val="24"/>
          </w:rPr>
          <w:instrText xml:space="preserve"> PAGE   \* MERGEFORMAT </w:instrText>
        </w:r>
        <w:r w:rsidRPr="003D13B0">
          <w:rPr>
            <w:sz w:val="24"/>
            <w:szCs w:val="24"/>
          </w:rPr>
          <w:fldChar w:fldCharType="separate"/>
        </w:r>
        <w:r w:rsidR="00460DC7">
          <w:rPr>
            <w:noProof/>
            <w:sz w:val="24"/>
            <w:szCs w:val="24"/>
          </w:rPr>
          <w:t>3</w:t>
        </w:r>
        <w:r w:rsidRPr="003D13B0">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6C2C7E70" w14:textId="77777777" w:rsidR="003D13B0" w:rsidRDefault="003D13B0">
        <w:pPr>
          <w:pStyle w:val="Footer"/>
          <w:jc w:val="center"/>
        </w:pPr>
      </w:p>
      <w:p w14:paraId="01FB866E" w14:textId="77777777" w:rsidR="003D13B0" w:rsidRDefault="003D13B0">
        <w:pPr>
          <w:pStyle w:val="Footer"/>
          <w:jc w:val="center"/>
        </w:pPr>
      </w:p>
      <w:p w14:paraId="2960CCA8" w14:textId="77777777" w:rsidR="003D13B0" w:rsidRDefault="003D13B0">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01980056" w14:textId="77777777" w:rsidR="003D13B0" w:rsidRDefault="003D13B0"/>
  <w:p w14:paraId="3F51894E" w14:textId="77777777" w:rsidR="003D13B0" w:rsidRDefault="003D13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31153" w14:textId="77777777" w:rsidR="00A26A0E" w:rsidRDefault="00A26A0E">
      <w:pPr>
        <w:spacing w:after="0"/>
      </w:pPr>
      <w:r>
        <w:separator/>
      </w:r>
    </w:p>
  </w:footnote>
  <w:footnote w:type="continuationSeparator" w:id="0">
    <w:p w14:paraId="5DF798A1" w14:textId="77777777" w:rsidR="00A26A0E" w:rsidRDefault="00A26A0E">
      <w:pPr>
        <w:spacing w:after="0"/>
      </w:pPr>
      <w:r>
        <w:continuationSeparator/>
      </w:r>
    </w:p>
  </w:footnote>
  <w:footnote w:id="1">
    <w:p w14:paraId="1ED312A2" w14:textId="0B1DB0A3" w:rsidR="00890B45" w:rsidRPr="00890B45" w:rsidRDefault="00890B45">
      <w:pPr>
        <w:pStyle w:val="FootnoteText"/>
        <w:rPr>
          <w:lang w:val="en-IE"/>
        </w:rPr>
      </w:pPr>
      <w:r>
        <w:rPr>
          <w:rStyle w:val="FootnoteReference"/>
        </w:rPr>
        <w:footnoteRef/>
      </w:r>
      <w:r>
        <w:tab/>
      </w:r>
      <w:r w:rsidRPr="00403F35">
        <w:t xml:space="preserve">An overview of the institutional framework for all four pillars can be found </w:t>
      </w:r>
      <w:hyperlink r:id="rId1" w:history="1">
        <w:r w:rsidRPr="00B96F12">
          <w:rPr>
            <w:rStyle w:val="Hyperlink"/>
            <w:lang w:val="en-US"/>
          </w:rPr>
          <w:t>here</w:t>
        </w:r>
      </w:hyperlink>
      <w:r w:rsidRPr="00B96F12">
        <w:rPr>
          <w:lang w:val="en-US"/>
        </w:rPr>
        <w:t>.</w:t>
      </w:r>
    </w:p>
  </w:footnote>
  <w:footnote w:id="2">
    <w:p w14:paraId="220F6A88" w14:textId="77777777" w:rsidR="003D13B0" w:rsidRPr="00AF6756" w:rsidRDefault="003D13B0" w:rsidP="003D13B0">
      <w:pPr>
        <w:pStyle w:val="FootnoteText"/>
      </w:pPr>
      <w:r w:rsidRPr="00AF6756">
        <w:rPr>
          <w:rStyle w:val="FootnoteReference"/>
        </w:rPr>
        <w:footnoteRef/>
      </w:r>
      <w:r w:rsidRPr="00AF6756">
        <w:t xml:space="preserve"> </w:t>
      </w:r>
      <w:r>
        <w:tab/>
      </w:r>
      <w:r w:rsidRPr="00AF6756">
        <w:t xml:space="preserve">Figures </w:t>
      </w:r>
      <w:r>
        <w:t>48</w:t>
      </w:r>
      <w:r w:rsidRPr="00AF6756">
        <w:t xml:space="preserve"> and </w:t>
      </w:r>
      <w:r>
        <w:t>50</w:t>
      </w:r>
      <w:r w:rsidRPr="00D03E2F">
        <w:t xml:space="preserve">, </w:t>
      </w:r>
      <w:r>
        <w:t>2026</w:t>
      </w:r>
      <w:r w:rsidRPr="00AF6756">
        <w:t xml:space="preserve"> EU Justice Scoreboard and Figures </w:t>
      </w:r>
      <w:r>
        <w:t>51</w:t>
      </w:r>
      <w:r w:rsidRPr="00AF6756">
        <w:t xml:space="preserve"> and </w:t>
      </w:r>
      <w:r>
        <w:t>53</w:t>
      </w:r>
      <w:r w:rsidRPr="00551154">
        <w:t xml:space="preserve">, </w:t>
      </w:r>
      <w:r>
        <w:t>2024</w:t>
      </w:r>
      <w:r w:rsidRPr="00AF6756">
        <w:t xml:space="preserve">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476ABF0" w14:textId="77777777" w:rsidR="003D13B0" w:rsidRPr="00AC1817" w:rsidRDefault="003D13B0" w:rsidP="003D13B0">
      <w:pPr>
        <w:pStyle w:val="FootnoteText"/>
      </w:pPr>
      <w:r>
        <w:rPr>
          <w:rStyle w:val="FootnoteReference"/>
        </w:rPr>
        <w:footnoteRef/>
      </w:r>
      <w:r>
        <w:t xml:space="preserve"> </w:t>
      </w:r>
      <w:r>
        <w:tab/>
        <w:t xml:space="preserve">See also </w:t>
      </w:r>
      <w:r w:rsidRPr="00AC1817">
        <w:rPr>
          <w:lang w:val="en-IE" w:eastAsia="fr-FR"/>
        </w:rPr>
        <w:t>January 2026, INSCOP Research</w:t>
      </w:r>
      <w:r>
        <w:rPr>
          <w:lang w:val="en-IE" w:eastAsia="fr-FR"/>
        </w:rPr>
        <w:t xml:space="preserve">, survey on the trust in the judiciary in Romania, </w:t>
      </w:r>
      <w:r>
        <w:rPr>
          <w:lang w:eastAsia="fr-FR"/>
        </w:rPr>
        <w:t>according to which s</w:t>
      </w:r>
      <w:r w:rsidRPr="005366B8">
        <w:rPr>
          <w:lang w:eastAsia="fr-FR"/>
        </w:rPr>
        <w:t>even out of ten Romanians have very little or no trust in the judiciary, while more than two-thirds believe that the justice system is not independent</w:t>
      </w:r>
      <w:r>
        <w:rPr>
          <w:lang w:val="en-IE" w:eastAsia="fr-FR"/>
        </w:rPr>
        <w:t>. FDSC (2026), written input, p. 9.</w:t>
      </w:r>
    </w:p>
  </w:footnote>
  <w:footnote w:id="4">
    <w:p w14:paraId="17AEE970" w14:textId="77777777" w:rsidR="003D13B0" w:rsidRPr="00DA6FD6" w:rsidRDefault="003D13B0" w:rsidP="003D13B0">
      <w:pPr>
        <w:pStyle w:val="FootnoteText"/>
      </w:pPr>
      <w:r>
        <w:rPr>
          <w:rStyle w:val="FootnoteReference"/>
        </w:rPr>
        <w:footnoteRef/>
      </w:r>
      <w:r>
        <w:t xml:space="preserve"> </w:t>
      </w:r>
      <w:r>
        <w:tab/>
        <w:t>2023 Rule of Law Report, pp. 4-6.</w:t>
      </w:r>
    </w:p>
  </w:footnote>
  <w:footnote w:id="5">
    <w:p w14:paraId="2C3E1999" w14:textId="77777777" w:rsidR="003D13B0" w:rsidRPr="00E80F04" w:rsidRDefault="003D13B0" w:rsidP="003D13B0">
      <w:pPr>
        <w:pStyle w:val="FootnoteText"/>
      </w:pPr>
      <w:r>
        <w:rPr>
          <w:rStyle w:val="FootnoteReference"/>
        </w:rPr>
        <w:footnoteRef/>
      </w:r>
      <w:r>
        <w:t xml:space="preserve"> </w:t>
      </w:r>
      <w:r>
        <w:tab/>
        <w:t>2025 Rule of Law Report, p. 4.</w:t>
      </w:r>
    </w:p>
  </w:footnote>
  <w:footnote w:id="6">
    <w:p w14:paraId="6568C6FD" w14:textId="634159A9" w:rsidR="003D13B0" w:rsidRPr="00D034D1" w:rsidRDefault="003D13B0" w:rsidP="003D13B0">
      <w:pPr>
        <w:pStyle w:val="FootnoteText"/>
      </w:pPr>
      <w:r w:rsidRPr="00D034D1">
        <w:rPr>
          <w:rStyle w:val="FootnoteReference"/>
        </w:rPr>
        <w:footnoteRef/>
      </w:r>
      <w:r w:rsidRPr="00D034D1">
        <w:t xml:space="preserve"> </w:t>
      </w:r>
      <w:r w:rsidRPr="00D034D1">
        <w:tab/>
      </w:r>
      <w:r w:rsidRPr="00FF0446">
        <w:t xml:space="preserve">Discussions in the wake of the broadcasting of </w:t>
      </w:r>
      <w:r>
        <w:t>a</w:t>
      </w:r>
      <w:r w:rsidRPr="00FF0446">
        <w:t xml:space="preserve"> documentary </w:t>
      </w:r>
      <w:r>
        <w:t>by an investigative media outlet</w:t>
      </w:r>
      <w:r w:rsidRPr="00FF0446">
        <w:t>.</w:t>
      </w:r>
    </w:p>
  </w:footnote>
  <w:footnote w:id="7">
    <w:p w14:paraId="7FA6D1E4" w14:textId="04DD1576" w:rsidR="003D13B0" w:rsidRPr="00E131D6" w:rsidRDefault="003D13B0" w:rsidP="003D13B0">
      <w:pPr>
        <w:pStyle w:val="FootnoteText"/>
      </w:pPr>
      <w:r>
        <w:rPr>
          <w:rStyle w:val="FootnoteReference"/>
        </w:rPr>
        <w:footnoteRef/>
      </w:r>
      <w:r>
        <w:t xml:space="preserve"> </w:t>
      </w:r>
      <w:r>
        <w:tab/>
      </w:r>
      <w:r>
        <w:rPr>
          <w:lang w:val="en-IE"/>
        </w:rPr>
        <w:t xml:space="preserve">President of </w:t>
      </w:r>
      <w:r w:rsidR="00810C1D">
        <w:rPr>
          <w:lang w:val="en-IE"/>
        </w:rPr>
        <w:t>Romania’s</w:t>
      </w:r>
      <w:r w:rsidRPr="009627BD">
        <w:t xml:space="preserve"> Summary of “the comments submitted by magistrates and other actors in the judicial system on the functioning of justice, the independence of magistrates and the mechanisms regarding the career of magistrates”.</w:t>
      </w:r>
    </w:p>
  </w:footnote>
  <w:footnote w:id="8">
    <w:p w14:paraId="3DCF0CF1" w14:textId="3A7D1D3D" w:rsidR="003D13B0" w:rsidRPr="0040571D" w:rsidRDefault="003D13B0" w:rsidP="003D13B0">
      <w:pPr>
        <w:pStyle w:val="FootnoteText"/>
      </w:pPr>
      <w:r w:rsidRPr="00D034D1">
        <w:rPr>
          <w:rStyle w:val="FootnoteReference"/>
        </w:rPr>
        <w:footnoteRef/>
      </w:r>
      <w:r w:rsidRPr="00D034D1">
        <w:t xml:space="preserve"> </w:t>
      </w:r>
      <w:r w:rsidRPr="00D034D1">
        <w:tab/>
        <w:t xml:space="preserve">Decision </w:t>
      </w:r>
      <w:r w:rsidRPr="00A26E5F">
        <w:t>no. 574/2025</w:t>
      </w:r>
      <w:r>
        <w:t xml:space="preserve"> </w:t>
      </w:r>
      <w:r w:rsidRPr="00D034D1">
        <w:t>of the Prime Minister on the setting up, organisation and tasks of the Committee on the Review and Revision of the Justice laws. Members of the Committee are the Chancellery and the Ministry of Justice.</w:t>
      </w:r>
    </w:p>
  </w:footnote>
  <w:footnote w:id="9">
    <w:p w14:paraId="4B304FCB" w14:textId="4D0C12FD" w:rsidR="003D13B0" w:rsidRPr="00FC5D36" w:rsidRDefault="003D13B0" w:rsidP="003D13B0">
      <w:pPr>
        <w:pStyle w:val="FootnoteText"/>
        <w:rPr>
          <w:i/>
          <w:iCs/>
        </w:rPr>
      </w:pPr>
      <w:r>
        <w:rPr>
          <w:rStyle w:val="FootnoteReference"/>
        </w:rPr>
        <w:footnoteRef/>
      </w:r>
      <w:r w:rsidR="00A810AD">
        <w:t xml:space="preserve"> </w:t>
      </w:r>
      <w:r w:rsidR="00A810AD">
        <w:tab/>
      </w:r>
      <w:r>
        <w:t>See press release issued by the Government with topics discussed.</w:t>
      </w:r>
    </w:p>
  </w:footnote>
  <w:footnote w:id="10">
    <w:p w14:paraId="1771FB36" w14:textId="77777777" w:rsidR="003D13B0" w:rsidRPr="00516CFD" w:rsidRDefault="003D13B0" w:rsidP="003D13B0">
      <w:pPr>
        <w:pStyle w:val="FootnoteText"/>
        <w:rPr>
          <w:lang w:val="en-IE"/>
        </w:rPr>
      </w:pPr>
      <w:r>
        <w:rPr>
          <w:rStyle w:val="FootnoteReference"/>
        </w:rPr>
        <w:footnoteRef/>
      </w:r>
      <w:r>
        <w:t xml:space="preserve"> </w:t>
      </w:r>
      <w:r w:rsidRPr="00516CFD">
        <w:rPr>
          <w:lang w:val="en-IE"/>
        </w:rPr>
        <w:tab/>
      </w:r>
      <w:r w:rsidRPr="1598825B">
        <w:rPr>
          <w:lang w:val="en-IE"/>
        </w:rPr>
        <w:t>As of January 2026, out of 657 management positions, 430 were filled by delegation, i.e. 65.44% (</w:t>
      </w:r>
      <w:r w:rsidRPr="1598825B">
        <w:t>Superior Council of Magistracy (</w:t>
      </w:r>
      <w:r w:rsidRPr="1598825B">
        <w:rPr>
          <w:lang w:val="en-IE"/>
        </w:rPr>
        <w:t>SCM) data). Magistrates’ associations and CSOs expressed their concern that this</w:t>
      </w:r>
      <w:r w:rsidRPr="1598825B">
        <w:t xml:space="preserve"> undermines judicial independence. </w:t>
      </w:r>
      <w:r w:rsidRPr="1598825B">
        <w:rPr>
          <w:lang w:val="en-IE"/>
        </w:rPr>
        <w:t>(Country visit). On this aspect and the following issues mentioned, see also Expert Forum (2025), Priorities of Justice; the Romanian Forum of Judges (2025), Some Effects of the New Justice Laws.</w:t>
      </w:r>
    </w:p>
  </w:footnote>
  <w:footnote w:id="11">
    <w:p w14:paraId="0ABEFFA4" w14:textId="6A4D4E86" w:rsidR="003D13B0" w:rsidRPr="005032F9" w:rsidRDefault="003D13B0" w:rsidP="003D13B0">
      <w:pPr>
        <w:pStyle w:val="FootnoteText"/>
        <w:rPr>
          <w:i/>
          <w:iCs/>
        </w:rPr>
      </w:pPr>
      <w:r>
        <w:rPr>
          <w:rStyle w:val="FootnoteReference"/>
        </w:rPr>
        <w:footnoteRef/>
      </w:r>
      <w:r>
        <w:t xml:space="preserve"> </w:t>
      </w:r>
      <w:r>
        <w:tab/>
      </w:r>
      <w:r w:rsidRPr="7A974765">
        <w:t xml:space="preserve">Country visit Romania, CSOs and magistrates’ associations. </w:t>
      </w:r>
      <w:r w:rsidRPr="7A974765">
        <w:rPr>
          <w:color w:val="000000"/>
        </w:rPr>
        <w:t>Committee of Ministers of the Council of Europe (2010)</w:t>
      </w:r>
      <w:r w:rsidRPr="7A974765">
        <w:rPr>
          <w:rStyle w:val="normaltextrun"/>
          <w:color w:val="000000"/>
        </w:rPr>
        <w:t>, para. 9</w:t>
      </w:r>
      <w:r w:rsidRPr="7A974765">
        <w:t xml:space="preserve"> provides that a case should not be withdrawn from a particular judge without valid reasons, unless such decision is taken on the basis of objective, pre-established criteria and following a transparent procedure.</w:t>
      </w:r>
      <w:r w:rsidR="00B62A69">
        <w:t xml:space="preserve"> See also Judges’ Forum</w:t>
      </w:r>
      <w:r w:rsidR="0095757B">
        <w:t xml:space="preserve"> (2025).</w:t>
      </w:r>
    </w:p>
  </w:footnote>
  <w:footnote w:id="12">
    <w:p w14:paraId="5C61F2D2" w14:textId="24D2CC1F" w:rsidR="003D13B0" w:rsidRPr="001A6A3F" w:rsidRDefault="003D13B0" w:rsidP="003D13B0">
      <w:pPr>
        <w:pStyle w:val="FootnoteText"/>
        <w:rPr>
          <w:lang w:val="en-IE"/>
        </w:rPr>
      </w:pPr>
      <w:r>
        <w:rPr>
          <w:rStyle w:val="FootnoteReference"/>
        </w:rPr>
        <w:footnoteRef/>
      </w:r>
      <w:r>
        <w:t xml:space="preserve"> </w:t>
      </w:r>
      <w:r w:rsidRPr="001A6A3F">
        <w:rPr>
          <w:lang w:val="en-IE"/>
        </w:rPr>
        <w:tab/>
      </w:r>
      <w:r>
        <w:t xml:space="preserve">Country visit Romania, CSOs and magistrates’ associations and documents mentioned under fn. 11. </w:t>
      </w:r>
      <w:r w:rsidRPr="00393927">
        <w:rPr>
          <w:lang w:val="en-IE"/>
        </w:rPr>
        <w:t>CJEU, Judgment of 6 October 2021, Case C-487/19, W.Z.</w:t>
      </w:r>
      <w:r>
        <w:rPr>
          <w:lang w:val="en-IE"/>
        </w:rPr>
        <w:t>, para. 114 provides that</w:t>
      </w:r>
      <w:r w:rsidRPr="00393927">
        <w:rPr>
          <w:lang w:val="en-IE"/>
        </w:rPr>
        <w:t xml:space="preserve"> </w:t>
      </w:r>
      <w:r>
        <w:rPr>
          <w:lang w:val="en-IE"/>
        </w:rPr>
        <w:t>t</w:t>
      </w:r>
      <w:r w:rsidRPr="006D08A2">
        <w:rPr>
          <w:lang w:val="en-IE"/>
        </w:rPr>
        <w:t xml:space="preserve">ransfers </w:t>
      </w:r>
      <w:r w:rsidRPr="00A329A6">
        <w:rPr>
          <w:lang w:val="en-IE"/>
        </w:rPr>
        <w:t>without consent of a judge to another court</w:t>
      </w:r>
      <w:r>
        <w:rPr>
          <w:lang w:val="en-IE"/>
        </w:rPr>
        <w:t xml:space="preserve"> or another panel can undermine the </w:t>
      </w:r>
      <w:r w:rsidRPr="00A329A6">
        <w:rPr>
          <w:lang w:val="en-IE"/>
        </w:rPr>
        <w:t>principles of the irremovability of judges and judicial independence</w:t>
      </w:r>
      <w:r w:rsidRPr="00BA2CE9">
        <w:rPr>
          <w:lang w:val="en-IE"/>
        </w:rPr>
        <w:t>.</w:t>
      </w:r>
    </w:p>
  </w:footnote>
  <w:footnote w:id="13">
    <w:p w14:paraId="34AD3DA1" w14:textId="1744D03E" w:rsidR="003D13B0" w:rsidRPr="00D21A7A" w:rsidRDefault="003D13B0" w:rsidP="003D13B0">
      <w:pPr>
        <w:pStyle w:val="FootnoteText"/>
        <w:rPr>
          <w:lang w:val="en-IE"/>
        </w:rPr>
      </w:pPr>
      <w:r>
        <w:rPr>
          <w:rStyle w:val="FootnoteReference"/>
        </w:rPr>
        <w:footnoteRef/>
      </w:r>
      <w:r>
        <w:t xml:space="preserve"> </w:t>
      </w:r>
      <w:r w:rsidRPr="0048207A">
        <w:rPr>
          <w:lang w:val="en-IE"/>
        </w:rPr>
        <w:tab/>
      </w:r>
      <w:r>
        <w:rPr>
          <w:lang w:val="en-IE"/>
        </w:rPr>
        <w:t xml:space="preserve">A </w:t>
      </w:r>
      <w:r w:rsidRPr="00A00824">
        <w:rPr>
          <w:lang w:val="en-IE"/>
        </w:rPr>
        <w:t xml:space="preserve">key concern </w:t>
      </w:r>
      <w:r>
        <w:rPr>
          <w:lang w:val="en-IE"/>
        </w:rPr>
        <w:t>raised by magistrates regards</w:t>
      </w:r>
      <w:r w:rsidRPr="00A00824">
        <w:rPr>
          <w:lang w:val="en-IE"/>
        </w:rPr>
        <w:t xml:space="preserve"> the level of transparency </w:t>
      </w:r>
      <w:r>
        <w:rPr>
          <w:lang w:val="en-IE"/>
        </w:rPr>
        <w:t>of such promotions</w:t>
      </w:r>
      <w:r w:rsidRPr="00A00824">
        <w:rPr>
          <w:lang w:val="en-IE"/>
        </w:rPr>
        <w:t xml:space="preserve">, which rest on an evaluation of </w:t>
      </w:r>
      <w:r>
        <w:rPr>
          <w:lang w:val="en-IE"/>
        </w:rPr>
        <w:t>the candidates’</w:t>
      </w:r>
      <w:r w:rsidRPr="00A00824">
        <w:rPr>
          <w:lang w:val="en-IE"/>
        </w:rPr>
        <w:t xml:space="preserve"> judgments and an interview with the SCM section of judges</w:t>
      </w:r>
      <w:r>
        <w:rPr>
          <w:lang w:val="en-IE"/>
        </w:rPr>
        <w:t xml:space="preserve">, and no longer include a written competition. </w:t>
      </w:r>
      <w:r w:rsidRPr="00981E39">
        <w:t>2025 Rule of Law Report, Romania, p. 4</w:t>
      </w:r>
      <w:r>
        <w:t>.</w:t>
      </w:r>
      <w:r>
        <w:rPr>
          <w:lang w:val="en-IE"/>
        </w:rPr>
        <w:t xml:space="preserve"> Country visit Romania, magistrates’ associations and CSOs. See also documents mentioned under fn. 11. CCBE (2026). </w:t>
      </w:r>
      <w:r w:rsidRPr="000F3ECB">
        <w:rPr>
          <w:lang w:val="en-IE"/>
        </w:rPr>
        <w:t>The</w:t>
      </w:r>
      <w:r>
        <w:rPr>
          <w:lang w:val="en-IE"/>
        </w:rPr>
        <w:t xml:space="preserve"> nominations of high-level prosecutors by the President of </w:t>
      </w:r>
      <w:r w:rsidR="00810C1D">
        <w:rPr>
          <w:lang w:val="en-IE"/>
        </w:rPr>
        <w:t>Romania</w:t>
      </w:r>
      <w:r w:rsidRPr="000F3ECB">
        <w:rPr>
          <w:lang w:val="en-IE"/>
        </w:rPr>
        <w:t xml:space="preserve"> prompted </w:t>
      </w:r>
      <w:r>
        <w:rPr>
          <w:lang w:val="en-IE"/>
        </w:rPr>
        <w:t>twenty-five</w:t>
      </w:r>
      <w:r w:rsidRPr="000F3ECB">
        <w:rPr>
          <w:lang w:val="en-IE"/>
        </w:rPr>
        <w:t xml:space="preserve"> CSOs, supported by </w:t>
      </w:r>
      <w:r w:rsidR="00745E7E">
        <w:rPr>
          <w:lang w:val="en-IE"/>
        </w:rPr>
        <w:t>a number</w:t>
      </w:r>
      <w:r w:rsidRPr="000F3ECB">
        <w:rPr>
          <w:lang w:val="en-IE"/>
        </w:rPr>
        <w:t xml:space="preserve"> of citizens who signed a petition, to organise demonstrations, as in their view </w:t>
      </w:r>
      <w:r>
        <w:rPr>
          <w:lang w:val="en-IE"/>
        </w:rPr>
        <w:t>these nominations</w:t>
      </w:r>
      <w:r w:rsidRPr="000F3ECB">
        <w:rPr>
          <w:lang w:val="en-IE"/>
        </w:rPr>
        <w:t xml:space="preserve"> would go against efforts to strengthen judicial independence and the fight against corruption.</w:t>
      </w:r>
      <w:r>
        <w:rPr>
          <w:lang w:val="en-IE"/>
        </w:rPr>
        <w:t xml:space="preserve"> </w:t>
      </w:r>
    </w:p>
  </w:footnote>
  <w:footnote w:id="14">
    <w:p w14:paraId="75220D12" w14:textId="77777777" w:rsidR="003D13B0" w:rsidRPr="00811715" w:rsidRDefault="003D13B0" w:rsidP="003D13B0">
      <w:pPr>
        <w:pStyle w:val="FootnoteText"/>
        <w:rPr>
          <w:lang w:val="en-IE"/>
        </w:rPr>
      </w:pPr>
      <w:r>
        <w:rPr>
          <w:rStyle w:val="FootnoteReference"/>
        </w:rPr>
        <w:footnoteRef/>
      </w:r>
      <w:r>
        <w:t xml:space="preserve"> </w:t>
      </w:r>
      <w:r w:rsidRPr="00811715">
        <w:rPr>
          <w:lang w:val="en-IE"/>
        </w:rPr>
        <w:tab/>
      </w:r>
      <w:r>
        <w:t>Some stakeholders consider that a majority of members should be elected by their peers, which is not the case under the Justice Laws.</w:t>
      </w:r>
      <w:r w:rsidRPr="002A021E">
        <w:t xml:space="preserve"> </w:t>
      </w:r>
      <w:r>
        <w:t>Country visit Romania, CSOs and magistrates’ associations and documents mentioned under fn. 7.</w:t>
      </w:r>
    </w:p>
  </w:footnote>
  <w:footnote w:id="15">
    <w:p w14:paraId="365C6599" w14:textId="5A8190E4" w:rsidR="003D13B0" w:rsidRPr="00A33AE2" w:rsidRDefault="003D13B0" w:rsidP="003D13B0">
      <w:pPr>
        <w:pStyle w:val="FootnoteText"/>
        <w:rPr>
          <w:lang w:val="en-IE"/>
        </w:rPr>
      </w:pPr>
      <w:r>
        <w:rPr>
          <w:rStyle w:val="FootnoteReference"/>
        </w:rPr>
        <w:footnoteRef/>
      </w:r>
      <w:r>
        <w:t xml:space="preserve"> </w:t>
      </w:r>
      <w:r w:rsidRPr="00BD34FC">
        <w:rPr>
          <w:lang w:val="en-IE"/>
        </w:rPr>
        <w:tab/>
      </w:r>
      <w:r w:rsidRPr="32EDCD6B">
        <w:rPr>
          <w:rFonts w:eastAsia="Calibri" w:cs="Arial"/>
        </w:rPr>
        <w:t xml:space="preserve">The Venice Commission has reiterated the principle of broad and fair representation of all levels and types of courts in judicial councils. </w:t>
      </w:r>
      <w:r w:rsidRPr="00F0699D">
        <w:t>Venice Commission</w:t>
      </w:r>
      <w:r>
        <w:t xml:space="preserve"> (2023, 2022</w:t>
      </w:r>
      <w:r w:rsidRPr="00F0699D">
        <w:t>,</w:t>
      </w:r>
      <w:r>
        <w:t xml:space="preserve"> 2021)</w:t>
      </w:r>
      <w:r w:rsidRPr="00F0699D">
        <w:t>.</w:t>
      </w:r>
      <w:r>
        <w:t xml:space="preserve"> See also 2025 Rule of Law Report, Romania, p.4, and</w:t>
      </w:r>
      <w:r w:rsidRPr="32EDCD6B">
        <w:rPr>
          <w:rFonts w:eastAsia="Calibri" w:cs="Arial"/>
        </w:rPr>
        <w:t xml:space="preserve"> </w:t>
      </w:r>
      <w:r>
        <w:rPr>
          <w:lang w:val="en-IE"/>
        </w:rPr>
        <w:t>Country visit Romania, magistrates’ associations and CSOs</w:t>
      </w:r>
      <w:r w:rsidRPr="00A33AE2">
        <w:t>.</w:t>
      </w:r>
      <w:r w:rsidR="00605CF7">
        <w:t xml:space="preserve"> </w:t>
      </w:r>
    </w:p>
  </w:footnote>
  <w:footnote w:id="16">
    <w:p w14:paraId="11B27461" w14:textId="77777777" w:rsidR="003D13B0" w:rsidRPr="00584951" w:rsidRDefault="003D13B0" w:rsidP="003D13B0">
      <w:pPr>
        <w:pStyle w:val="FootnoteText"/>
      </w:pPr>
      <w:r w:rsidRPr="00A33AE2">
        <w:rPr>
          <w:rStyle w:val="FootnoteReference"/>
        </w:rPr>
        <w:footnoteRef/>
      </w:r>
      <w:r w:rsidRPr="00A33AE2">
        <w:t xml:space="preserve"> </w:t>
      </w:r>
      <w:r w:rsidRPr="00A33AE2">
        <w:tab/>
      </w:r>
      <w:r w:rsidRPr="005D26B1">
        <w:t>Country visit Romania</w:t>
      </w:r>
      <w:r>
        <w:t xml:space="preserve">, </w:t>
      </w:r>
      <w:r w:rsidRPr="00A33AE2">
        <w:t xml:space="preserve">Romanian Judges’ Forum Association, Movement for the Defence of Prosecutors' Status Association, Initiative for Justice Association, Civil Society Development Foundation (FDSC), Funky </w:t>
      </w:r>
      <w:r w:rsidRPr="00584951">
        <w:t>Citizens, Expert Forum.</w:t>
      </w:r>
    </w:p>
  </w:footnote>
  <w:footnote w:id="17">
    <w:p w14:paraId="06275FE5" w14:textId="368919CE" w:rsidR="003D13B0" w:rsidRPr="00D3106A" w:rsidRDefault="003D13B0" w:rsidP="003D13B0">
      <w:pPr>
        <w:pStyle w:val="FootnoteText"/>
      </w:pPr>
      <w:r w:rsidRPr="00584951">
        <w:rPr>
          <w:rStyle w:val="FootnoteReference"/>
        </w:rPr>
        <w:footnoteRef/>
      </w:r>
      <w:r w:rsidRPr="00584951">
        <w:t xml:space="preserve"> </w:t>
      </w:r>
      <w:r w:rsidRPr="00584951">
        <w:tab/>
        <w:t xml:space="preserve">See </w:t>
      </w:r>
      <w:r w:rsidRPr="00CC0147">
        <w:t>footnote nr. 8 on Prime Minister Decision no. 574/2025. The HCCJ Decision is not public yet. Decision no. 574/2025 has also been appealed in front of the Bucharest Court of Appeal (Case number 448/2/2026).</w:t>
      </w:r>
      <w:r w:rsidR="00D3106A" w:rsidRPr="00CC0147">
        <w:t xml:space="preserve"> </w:t>
      </w:r>
      <w:r w:rsidR="00D3106A" w:rsidRPr="00CC0147">
        <w:rPr>
          <w:rFonts w:eastAsiaTheme="minorHAnsi"/>
        </w:rPr>
        <w:t xml:space="preserve">On 6 July 2026, the </w:t>
      </w:r>
      <w:r w:rsidR="00D3106A" w:rsidRPr="00CC0147">
        <w:t xml:space="preserve">Bucharest Court of Appeal </w:t>
      </w:r>
      <w:r w:rsidR="00D3106A" w:rsidRPr="00CC0147">
        <w:rPr>
          <w:rFonts w:eastAsiaTheme="minorHAnsi"/>
        </w:rPr>
        <w:t>annulled the decision to set up the Committee</w:t>
      </w:r>
      <w:r w:rsidR="00CA494F" w:rsidRPr="00CC0147">
        <w:rPr>
          <w:rFonts w:eastAsiaTheme="minorHAnsi"/>
        </w:rPr>
        <w:t>.</w:t>
      </w:r>
    </w:p>
  </w:footnote>
  <w:footnote w:id="18">
    <w:p w14:paraId="13DB5700" w14:textId="25920E9D" w:rsidR="00147D43" w:rsidRPr="002D23BC" w:rsidRDefault="00147D43" w:rsidP="00147D43">
      <w:pPr>
        <w:pStyle w:val="FootnoteText"/>
        <w:rPr>
          <w:lang w:val="en-IE"/>
        </w:rPr>
      </w:pPr>
      <w:r>
        <w:rPr>
          <w:rStyle w:val="FootnoteReference"/>
        </w:rPr>
        <w:footnoteRef/>
      </w:r>
      <w:r>
        <w:tab/>
      </w:r>
      <w:r w:rsidRPr="003E2D9E">
        <w:t xml:space="preserve">Government of Romania, Chancellery of the Prime Minister, Report on the work of the Committee on the Review and Revision of the Justice Laws. The report </w:t>
      </w:r>
      <w:r w:rsidR="00661919" w:rsidRPr="003E2D9E">
        <w:t>recommends</w:t>
      </w:r>
      <w:r w:rsidRPr="003E2D9E">
        <w:t>, among other things, to revise the legislative framework on delegations and promotions of magistrates, their disciplinary regime and the composition of management boards in courts, and to regularly audit the system of random allocation of cases.</w:t>
      </w:r>
    </w:p>
  </w:footnote>
  <w:footnote w:id="19">
    <w:p w14:paraId="2F967F94" w14:textId="77777777" w:rsidR="003D13B0" w:rsidRPr="00D034D1" w:rsidRDefault="003D13B0" w:rsidP="003D13B0">
      <w:pPr>
        <w:pStyle w:val="FootnoteText"/>
      </w:pPr>
      <w:r>
        <w:rPr>
          <w:rStyle w:val="FootnoteReference"/>
        </w:rPr>
        <w:footnoteRef/>
      </w:r>
      <w:r>
        <w:t xml:space="preserve"> </w:t>
      </w:r>
      <w:r>
        <w:tab/>
        <w:t>The 2025 Rule of Law Report recommended Romania to “</w:t>
      </w:r>
      <w:r w:rsidRPr="00CC57A8">
        <w:rPr>
          <w:bCs/>
          <w:lang w:val="en-IE"/>
        </w:rPr>
        <w:t xml:space="preserve">Take forward legislative steps to strengthen safeguards to ensure the independence of high-ranking prosecutors and for the organisation and functioning </w:t>
      </w:r>
      <w:r w:rsidRPr="00D034D1">
        <w:rPr>
          <w:bCs/>
          <w:lang w:val="en-IE"/>
        </w:rPr>
        <w:t>of the judicial police”.</w:t>
      </w:r>
      <w:r>
        <w:rPr>
          <w:bCs/>
          <w:lang w:val="en-IE"/>
        </w:rPr>
        <w:t xml:space="preserve"> This was a new recommendation in 2025.</w:t>
      </w:r>
    </w:p>
  </w:footnote>
  <w:footnote w:id="20">
    <w:p w14:paraId="3BA90AC3" w14:textId="77777777" w:rsidR="003D13B0" w:rsidRPr="00A33AE2" w:rsidRDefault="003D13B0" w:rsidP="003D13B0">
      <w:pPr>
        <w:pStyle w:val="FootnoteText"/>
      </w:pPr>
      <w:r w:rsidRPr="00A33AE2">
        <w:rPr>
          <w:rStyle w:val="FootnoteReference"/>
        </w:rPr>
        <w:footnoteRef/>
      </w:r>
      <w:r w:rsidRPr="00A33AE2">
        <w:t xml:space="preserve"> </w:t>
      </w:r>
      <w:r w:rsidRPr="00A33AE2">
        <w:tab/>
        <w:t>Romanian Government (2026), written input, p. 2-3.</w:t>
      </w:r>
      <w:r>
        <w:t xml:space="preserve"> 2025 Rule of Law Report, Romania, p. 4.</w:t>
      </w:r>
    </w:p>
  </w:footnote>
  <w:footnote w:id="21">
    <w:p w14:paraId="5F0EA4F1" w14:textId="77777777" w:rsidR="003D13B0" w:rsidRPr="00A33AE2" w:rsidRDefault="003D13B0" w:rsidP="003D13B0">
      <w:pPr>
        <w:pStyle w:val="FootnoteText"/>
      </w:pPr>
      <w:r w:rsidRPr="00A33AE2">
        <w:rPr>
          <w:rStyle w:val="FootnoteReference"/>
        </w:rPr>
        <w:footnoteRef/>
      </w:r>
      <w:r w:rsidRPr="00A33AE2">
        <w:t xml:space="preserve"> </w:t>
      </w:r>
      <w:r w:rsidRPr="00A33AE2">
        <w:tab/>
        <w:t>Ibidem, p. 13.</w:t>
      </w:r>
    </w:p>
  </w:footnote>
  <w:footnote w:id="22">
    <w:p w14:paraId="4FDAA40A" w14:textId="77777777" w:rsidR="003D13B0" w:rsidRPr="00FE641B" w:rsidRDefault="003D13B0" w:rsidP="003D13B0">
      <w:pPr>
        <w:pStyle w:val="FootnoteText"/>
      </w:pPr>
      <w:r w:rsidRPr="00A33AE2">
        <w:rPr>
          <w:rStyle w:val="FootnoteReference"/>
        </w:rPr>
        <w:footnoteRef/>
      </w:r>
      <w:r w:rsidRPr="00A33AE2">
        <w:t xml:space="preserve"> </w:t>
      </w:r>
      <w:r w:rsidRPr="00A33AE2">
        <w:tab/>
        <w:t>See Summary of the</w:t>
      </w:r>
      <w:r>
        <w:t xml:space="preserve"> Presidency of the Republic, fn. 5. See also </w:t>
      </w:r>
      <w:r w:rsidRPr="00C43E6A">
        <w:t>Country visit Romania, Concordia and Romanian Business Leaders.</w:t>
      </w:r>
    </w:p>
  </w:footnote>
  <w:footnote w:id="23">
    <w:p w14:paraId="11D40274" w14:textId="77777777" w:rsidR="003D13B0" w:rsidRPr="000156C8" w:rsidRDefault="003D13B0" w:rsidP="003D13B0">
      <w:pPr>
        <w:pStyle w:val="FootnoteText"/>
      </w:pPr>
      <w:r>
        <w:rPr>
          <w:rStyle w:val="FootnoteReference"/>
        </w:rPr>
        <w:footnoteRef/>
      </w:r>
      <w:r>
        <w:t xml:space="preserve"> </w:t>
      </w:r>
      <w:r>
        <w:tab/>
        <w:t>2025 Rule of Law Report, Romania, p. 4-5.</w:t>
      </w:r>
    </w:p>
  </w:footnote>
  <w:footnote w:id="24">
    <w:p w14:paraId="0D6EE86C" w14:textId="77777777" w:rsidR="003D13B0" w:rsidRPr="00015922" w:rsidRDefault="003D13B0" w:rsidP="003D13B0">
      <w:pPr>
        <w:pStyle w:val="FootnoteText"/>
      </w:pPr>
      <w:r>
        <w:rPr>
          <w:rStyle w:val="FootnoteReference"/>
        </w:rPr>
        <w:footnoteRef/>
      </w:r>
      <w:r>
        <w:t xml:space="preserve"> </w:t>
      </w:r>
      <w:r w:rsidRPr="00B91F16">
        <w:rPr>
          <w:lang w:val="en-IE"/>
        </w:rPr>
        <w:tab/>
      </w:r>
      <w:r>
        <w:t xml:space="preserve">Romanian Judges’ Forum Association, </w:t>
      </w:r>
      <w:r w:rsidRPr="00A36467">
        <w:t>Movement for the Defence of Prosecutors' Status Association</w:t>
      </w:r>
      <w:r>
        <w:t xml:space="preserve">, Initiative for Justice Association, </w:t>
      </w:r>
      <w:r w:rsidRPr="002E5011">
        <w:t>Civil Society Development Foundation (</w:t>
      </w:r>
      <w:r>
        <w:t>FDSC</w:t>
      </w:r>
      <w:r w:rsidRPr="002E5011">
        <w:t>)</w:t>
      </w:r>
      <w:r>
        <w:t>, Funky Citizens, Expert Forum.</w:t>
      </w:r>
    </w:p>
  </w:footnote>
  <w:footnote w:id="25">
    <w:p w14:paraId="72D72743" w14:textId="77777777" w:rsidR="003D13B0" w:rsidRPr="003C56DF" w:rsidRDefault="003D13B0" w:rsidP="003D13B0">
      <w:pPr>
        <w:pStyle w:val="FootnoteText"/>
        <w:rPr>
          <w:lang w:val="en-IE"/>
        </w:rPr>
      </w:pPr>
      <w:r>
        <w:rPr>
          <w:rStyle w:val="FootnoteReference"/>
        </w:rPr>
        <w:footnoteRef/>
      </w:r>
      <w:r>
        <w:t xml:space="preserve"> </w:t>
      </w:r>
      <w:r w:rsidRPr="003C56DF">
        <w:rPr>
          <w:lang w:val="en-IE"/>
        </w:rPr>
        <w:tab/>
        <w:t>See GRECO recommendation to P</w:t>
      </w:r>
      <w:r>
        <w:rPr>
          <w:lang w:val="en-IE"/>
        </w:rPr>
        <w:t>ortugal (4</w:t>
      </w:r>
      <w:r w:rsidRPr="003C56DF">
        <w:rPr>
          <w:vertAlign w:val="superscript"/>
          <w:lang w:val="en-IE"/>
        </w:rPr>
        <w:t>th</w:t>
      </w:r>
      <w:r>
        <w:rPr>
          <w:lang w:val="en-IE"/>
        </w:rPr>
        <w:t xml:space="preserve"> evaluation round, pt. 96), that </w:t>
      </w:r>
      <w:r w:rsidRPr="006964B3">
        <w:t xml:space="preserve">information on the outcome of disciplinary procedures </w:t>
      </w:r>
      <w:r>
        <w:t>is</w:t>
      </w:r>
      <w:r w:rsidRPr="006964B3">
        <w:t xml:space="preserve"> published in a timely manner</w:t>
      </w:r>
      <w:r>
        <w:t>. And pts. 16 and 18 (</w:t>
      </w:r>
      <w:r w:rsidRPr="00BB4E13">
        <w:t>right to a timely decision and right to appeal</w:t>
      </w:r>
      <w:r>
        <w:t xml:space="preserve">) of </w:t>
      </w:r>
      <w:r w:rsidRPr="00C20EF1">
        <w:t>CCJE Opinion No. 27 (2024)</w:t>
      </w:r>
      <w:r>
        <w:t xml:space="preserve"> </w:t>
      </w:r>
      <w:r w:rsidRPr="00F65C68">
        <w:t>on the disciplinary liability of judges</w:t>
      </w:r>
      <w:r>
        <w:t>.</w:t>
      </w:r>
    </w:p>
  </w:footnote>
  <w:footnote w:id="26">
    <w:p w14:paraId="430A1FBD" w14:textId="5B675EC2" w:rsidR="003D13B0" w:rsidRPr="00F22E82" w:rsidRDefault="003D13B0" w:rsidP="003D13B0">
      <w:pPr>
        <w:pStyle w:val="FootnoteText"/>
      </w:pPr>
      <w:r>
        <w:rPr>
          <w:rStyle w:val="FootnoteReference"/>
        </w:rPr>
        <w:footnoteRef/>
      </w:r>
      <w:r>
        <w:t xml:space="preserve"> </w:t>
      </w:r>
      <w:r>
        <w:tab/>
        <w:t xml:space="preserve">Judgment of the </w:t>
      </w:r>
      <w:r w:rsidRPr="00F22E82">
        <w:t xml:space="preserve">ECHtR </w:t>
      </w:r>
      <w:r>
        <w:t>(</w:t>
      </w:r>
      <w:r w:rsidRPr="00F22E82">
        <w:t>Grand Chamber</w:t>
      </w:r>
      <w:r>
        <w:t xml:space="preserve">), case No. </w:t>
      </w:r>
      <w:r w:rsidRPr="008A238C">
        <w:t>16915/21</w:t>
      </w:r>
      <w:r>
        <w:t xml:space="preserve">, </w:t>
      </w:r>
      <w:r w:rsidRPr="000B694A">
        <w:rPr>
          <w:i/>
          <w:iCs/>
        </w:rPr>
        <w:t>Danileţ v. Romania</w:t>
      </w:r>
      <w:r>
        <w:t>, para. 152.</w:t>
      </w:r>
      <w:r w:rsidR="005A2409">
        <w:t xml:space="preserve"> See also </w:t>
      </w:r>
      <w:r w:rsidR="005A2409" w:rsidRPr="005A2409">
        <w:t>Communication from an NGO (Romanian Judges' Forum Association (18/05/2026)</w:t>
      </w:r>
      <w:r w:rsidR="005A2409">
        <w:t>)</w:t>
      </w:r>
      <w:r w:rsidR="005A2409" w:rsidRPr="005A2409">
        <w:t xml:space="preserve"> in the case of Danilet v. Romania (Application No. 16915/21)</w:t>
      </w:r>
      <w:r w:rsidR="009B6622">
        <w:t xml:space="preserve"> to the Committee of Min</w:t>
      </w:r>
      <w:r w:rsidR="00EB47F2">
        <w:t>.</w:t>
      </w:r>
      <w:r w:rsidR="00797079">
        <w:t xml:space="preserve"> for </w:t>
      </w:r>
      <w:r w:rsidR="00587349">
        <w:t>non-implementation of the judgment.</w:t>
      </w:r>
    </w:p>
  </w:footnote>
  <w:footnote w:id="27">
    <w:p w14:paraId="76706CCC" w14:textId="0FE955F7" w:rsidR="003D13B0" w:rsidRPr="00285283" w:rsidRDefault="003D13B0" w:rsidP="003D13B0">
      <w:pPr>
        <w:pStyle w:val="FootnoteText"/>
      </w:pPr>
      <w:r>
        <w:rPr>
          <w:rStyle w:val="FootnoteReference"/>
        </w:rPr>
        <w:footnoteRef/>
      </w:r>
      <w:r>
        <w:t xml:space="preserve"> </w:t>
      </w:r>
      <w:r>
        <w:tab/>
        <w:t xml:space="preserve">See notably </w:t>
      </w:r>
      <w:r w:rsidRPr="00FC7077">
        <w:t xml:space="preserve">HCCJ </w:t>
      </w:r>
      <w:r>
        <w:t>Decision</w:t>
      </w:r>
      <w:r w:rsidRPr="00FC7077">
        <w:t xml:space="preserve"> </w:t>
      </w:r>
      <w:r>
        <w:t>of 27</w:t>
      </w:r>
      <w:r w:rsidRPr="00FC7077">
        <w:t xml:space="preserve"> October 2025</w:t>
      </w:r>
      <w:r>
        <w:t xml:space="preserve"> and Judicial Inspection Decisions of 24 April 2026, launching disciplinary proceedings against a prosecutor speaking in the documentary; and of 20 April 2026 against a judge publishing political opinions on social media.</w:t>
      </w:r>
      <w:r w:rsidR="00593E85">
        <w:t xml:space="preserve"> Disciplinary proceedings were also launched against magistrates</w:t>
      </w:r>
      <w:r w:rsidR="00B23585">
        <w:t xml:space="preserve"> replying to the President’s invitation</w:t>
      </w:r>
      <w:r w:rsidR="00A845DF">
        <w:t xml:space="preserve"> to debate about the issues in the judiciary. Judges’ Forum (2026), written input.</w:t>
      </w:r>
    </w:p>
  </w:footnote>
  <w:footnote w:id="28">
    <w:p w14:paraId="520AD7D4" w14:textId="77777777" w:rsidR="003D13B0" w:rsidRPr="007F544E" w:rsidRDefault="003D13B0" w:rsidP="003D13B0">
      <w:pPr>
        <w:pStyle w:val="FootnoteText"/>
        <w:rPr>
          <w:lang w:val="en-IE"/>
        </w:rPr>
      </w:pPr>
      <w:r>
        <w:rPr>
          <w:rStyle w:val="FootnoteReference"/>
        </w:rPr>
        <w:footnoteRef/>
      </w:r>
      <w:r>
        <w:t xml:space="preserve"> </w:t>
      </w:r>
      <w:r w:rsidRPr="007F544E">
        <w:rPr>
          <w:lang w:val="en-IE"/>
        </w:rPr>
        <w:tab/>
      </w:r>
      <w:r>
        <w:t xml:space="preserve">Romanian Judges’ Forum Association, </w:t>
      </w:r>
      <w:r w:rsidRPr="00A36467">
        <w:t>Movement for the Defence of Prosecutors' Status Association</w:t>
      </w:r>
      <w:r>
        <w:t>, Initiative for Justice Association. FDSC (2026), written input, p. 9.</w:t>
      </w:r>
    </w:p>
  </w:footnote>
  <w:footnote w:id="29">
    <w:p w14:paraId="0506B477" w14:textId="7A2C9BAF" w:rsidR="003D13B0" w:rsidRPr="00A329A6" w:rsidRDefault="003D13B0" w:rsidP="003D13B0">
      <w:pPr>
        <w:pStyle w:val="FootnoteText"/>
        <w:rPr>
          <w:lang w:val="en-IE"/>
        </w:rPr>
      </w:pPr>
      <w:r>
        <w:rPr>
          <w:rStyle w:val="FootnoteReference"/>
        </w:rPr>
        <w:footnoteRef/>
      </w:r>
      <w:r>
        <w:t xml:space="preserve"> </w:t>
      </w:r>
      <w:r w:rsidRPr="00A329A6">
        <w:rPr>
          <w:lang w:val="en-IE"/>
        </w:rPr>
        <w:tab/>
      </w:r>
      <w:r w:rsidRPr="00572D4A">
        <w:t>Judicial Inspection Report no. 25-2781/2026</w:t>
      </w:r>
      <w:r>
        <w:rPr>
          <w:lang w:val="en-IE"/>
        </w:rPr>
        <w:t xml:space="preserve"> (not public). Disciplinary actions were launched against magistrates </w:t>
      </w:r>
      <w:r w:rsidRPr="005D3698">
        <w:rPr>
          <w:lang w:val="en-IE"/>
        </w:rPr>
        <w:t>issuing public statements in a documentary (see e.g. Judicial Inspection Decisions 26-127 of 4 March, of 29 April and of 14 May 2026</w:t>
      </w:r>
      <w:r w:rsidRPr="005D3698">
        <w:t>). Other judges were moved or their delegation prematurely ended.</w:t>
      </w:r>
      <w:r w:rsidR="00AA151E" w:rsidRPr="005D3698">
        <w:t xml:space="preserve"> </w:t>
      </w:r>
      <w:r w:rsidR="00AA151E" w:rsidRPr="005D3698">
        <w:rPr>
          <w:lang w:val="en-IE"/>
        </w:rPr>
        <w:t xml:space="preserve">The Report </w:t>
      </w:r>
      <w:r w:rsidR="0002722C" w:rsidRPr="005D3698">
        <w:rPr>
          <w:lang w:val="en-IE"/>
        </w:rPr>
        <w:t>on the work of</w:t>
      </w:r>
      <w:r w:rsidR="00AA151E" w:rsidRPr="005D3698">
        <w:rPr>
          <w:lang w:val="en-IE"/>
        </w:rPr>
        <w:t xml:space="preserve"> the Committee </w:t>
      </w:r>
      <w:r w:rsidR="009F547E" w:rsidRPr="005D3698">
        <w:rPr>
          <w:lang w:val="en-IE"/>
        </w:rPr>
        <w:t xml:space="preserve">points </w:t>
      </w:r>
      <w:r w:rsidR="005831F2" w:rsidRPr="005D3698">
        <w:rPr>
          <w:lang w:val="en-IE"/>
        </w:rPr>
        <w:t>to</w:t>
      </w:r>
      <w:r w:rsidR="00AA151E" w:rsidRPr="005D3698">
        <w:rPr>
          <w:lang w:val="en-IE"/>
        </w:rPr>
        <w:t xml:space="preserve"> the concentration of decision-making powers at the level of the Inspection’s management</w:t>
      </w:r>
      <w:r w:rsidR="009F547E" w:rsidRPr="005D3698">
        <w:rPr>
          <w:lang w:val="en-IE"/>
        </w:rPr>
        <w:t>.</w:t>
      </w:r>
    </w:p>
  </w:footnote>
  <w:footnote w:id="30">
    <w:p w14:paraId="6D45E18A" w14:textId="51C8DA33" w:rsidR="003D13B0" w:rsidRPr="00D67681" w:rsidRDefault="003D13B0" w:rsidP="003D13B0">
      <w:pPr>
        <w:pStyle w:val="FootnoteText"/>
        <w:rPr>
          <w:lang w:val="en-IE"/>
        </w:rPr>
      </w:pPr>
      <w:r>
        <w:rPr>
          <w:rStyle w:val="FootnoteReference"/>
        </w:rPr>
        <w:footnoteRef/>
      </w:r>
      <w:r>
        <w:t xml:space="preserve"> </w:t>
      </w:r>
      <w:r>
        <w:tab/>
        <w:t xml:space="preserve">Letter signed by 900 magistrates. </w:t>
      </w:r>
      <w:r w:rsidRPr="00B229C8">
        <w:rPr>
          <w:lang w:val="en-IE"/>
        </w:rPr>
        <w:t xml:space="preserve">Expert Forum (2026), written input, p. 9. </w:t>
      </w:r>
      <w:r w:rsidRPr="00372EAF">
        <w:rPr>
          <w:lang w:val="en-IE"/>
        </w:rPr>
        <w:t>FDCS (2026), written input, p. 9. Following the documentary, the Judicial Ins</w:t>
      </w:r>
      <w:r>
        <w:rPr>
          <w:lang w:val="en-IE"/>
        </w:rPr>
        <w:t xml:space="preserve">pection initiated disciplinary checks. </w:t>
      </w:r>
    </w:p>
  </w:footnote>
  <w:footnote w:id="31">
    <w:p w14:paraId="2CEA60B2" w14:textId="0D80B9BC" w:rsidR="003D13B0" w:rsidRPr="00B51A83" w:rsidRDefault="003D13B0" w:rsidP="003D13B0">
      <w:pPr>
        <w:pStyle w:val="FootnoteText"/>
      </w:pPr>
      <w:r>
        <w:rPr>
          <w:rStyle w:val="FootnoteReference"/>
        </w:rPr>
        <w:footnoteRef/>
      </w:r>
      <w:r>
        <w:t xml:space="preserve"> </w:t>
      </w:r>
      <w:r>
        <w:tab/>
        <w:t xml:space="preserve">See HCCJ Decision 182/2024 referring to Decision by the SCM of 28 February 2024 (not published). A legislative proposal from the Save Romania Union (USR) political </w:t>
      </w:r>
      <w:r w:rsidR="00A270B5">
        <w:t xml:space="preserve">party </w:t>
      </w:r>
      <w:r>
        <w:t xml:space="preserve">has been registered by the Senate on 11 March 2026 to </w:t>
      </w:r>
      <w:r w:rsidRPr="00D01241">
        <w:t>supplement art.2 of Law no. 361/2022 on the protection of whistleblowers in the public interest</w:t>
      </w:r>
      <w:r>
        <w:t xml:space="preserve"> to explicitly include magistrates in the scope.</w:t>
      </w:r>
    </w:p>
  </w:footnote>
  <w:footnote w:id="32">
    <w:p w14:paraId="67AD47C5" w14:textId="37480557" w:rsidR="00D03ED7" w:rsidRPr="00B229C8" w:rsidRDefault="00D03ED7">
      <w:pPr>
        <w:pStyle w:val="FootnoteText"/>
        <w:rPr>
          <w:lang w:val="en-IE"/>
        </w:rPr>
      </w:pPr>
      <w:r>
        <w:rPr>
          <w:rStyle w:val="FootnoteReference"/>
        </w:rPr>
        <w:footnoteRef/>
      </w:r>
      <w:r>
        <w:tab/>
      </w:r>
      <w:r w:rsidR="002E081A" w:rsidRPr="005D3698">
        <w:t>Government of Romania, Chancellery of the Prime Minister, Report on the work of the Committee on the Review and Revision of the Justice Laws.</w:t>
      </w:r>
    </w:p>
  </w:footnote>
  <w:footnote w:id="33">
    <w:p w14:paraId="368C665B" w14:textId="77777777" w:rsidR="003D13B0" w:rsidRPr="005005F4" w:rsidRDefault="003D13B0" w:rsidP="003D13B0">
      <w:pPr>
        <w:pStyle w:val="FootnoteText"/>
        <w:rPr>
          <w:lang w:val="en-IE"/>
        </w:rPr>
      </w:pPr>
      <w:r w:rsidRPr="00584951">
        <w:rPr>
          <w:rStyle w:val="FootnoteReference"/>
        </w:rPr>
        <w:footnoteRef/>
      </w:r>
      <w:r w:rsidRPr="00584951">
        <w:t xml:space="preserve"> </w:t>
      </w:r>
      <w:r w:rsidRPr="00584951">
        <w:tab/>
        <w:t>Decisions of the HCCJ,</w:t>
      </w:r>
      <w:r w:rsidRPr="00584951">
        <w:rPr>
          <w:lang w:val="en"/>
        </w:rPr>
        <w:t xml:space="preserve"> Cases No. 2431/1/2025, No. 793/1/2025 and No. 815/59/2022.</w:t>
      </w:r>
      <w:r w:rsidRPr="00584951">
        <w:t xml:space="preserve"> In the latter case, the same three judges were recused for proposing to submit a request for an advisory opinion to the ECtHR on the question whether a preliminary reference to the Court of Justice in the circumstances of that case constitutes a lack of impartiality under Article 6(1) ECHR.</w:t>
      </w:r>
    </w:p>
  </w:footnote>
  <w:footnote w:id="34">
    <w:p w14:paraId="433F74CB" w14:textId="7880377A" w:rsidR="003D13B0" w:rsidRPr="008615E6" w:rsidRDefault="003D13B0" w:rsidP="003D13B0">
      <w:pPr>
        <w:pStyle w:val="FootnoteText"/>
      </w:pPr>
      <w:r>
        <w:rPr>
          <w:rStyle w:val="FootnoteReference"/>
        </w:rPr>
        <w:footnoteRef/>
      </w:r>
      <w:r>
        <w:t xml:space="preserve"> </w:t>
      </w:r>
      <w:r>
        <w:tab/>
        <w:t xml:space="preserve">The same judges who requested preliminary rulings from the CJEU in cases </w:t>
      </w:r>
      <w:r w:rsidRPr="005F43D8">
        <w:rPr>
          <w:i/>
          <w:iCs/>
        </w:rPr>
        <w:t>Lin II</w:t>
      </w:r>
      <w:r>
        <w:t xml:space="preserve"> and </w:t>
      </w:r>
      <w:r w:rsidRPr="005F43D8">
        <w:rPr>
          <w:i/>
          <w:iCs/>
        </w:rPr>
        <w:t>Lin III</w:t>
      </w:r>
      <w:r>
        <w:rPr>
          <w:i/>
          <w:iCs/>
        </w:rPr>
        <w:t xml:space="preserve">. </w:t>
      </w:r>
      <w:r w:rsidRPr="00C45FAD">
        <w:t>Judgment of the CJEU</w:t>
      </w:r>
      <w:r>
        <w:t xml:space="preserve"> in</w:t>
      </w:r>
      <w:r w:rsidRPr="00C45FAD">
        <w:t xml:space="preserve"> case C-107/23, </w:t>
      </w:r>
      <w:r w:rsidRPr="007B7ECB">
        <w:rPr>
          <w:i/>
          <w:iCs/>
        </w:rPr>
        <w:t>Lin</w:t>
      </w:r>
      <w:r>
        <w:rPr>
          <w:i/>
          <w:iCs/>
        </w:rPr>
        <w:t>,</w:t>
      </w:r>
      <w:r>
        <w:t xml:space="preserve"> and referrals C-280/25 </w:t>
      </w:r>
      <w:r w:rsidRPr="008615E6">
        <w:rPr>
          <w:i/>
          <w:iCs/>
        </w:rPr>
        <w:t>Lin II</w:t>
      </w:r>
      <w:r>
        <w:t xml:space="preserve">, C-496/25, </w:t>
      </w:r>
      <w:r w:rsidRPr="005149DB">
        <w:rPr>
          <w:i/>
          <w:iCs/>
        </w:rPr>
        <w:t>Lin III</w:t>
      </w:r>
      <w:r>
        <w:t xml:space="preserve">. See pillar II below. </w:t>
      </w:r>
    </w:p>
  </w:footnote>
  <w:footnote w:id="35">
    <w:p w14:paraId="74707160" w14:textId="7729A9F2" w:rsidR="003D13B0" w:rsidRPr="00E5293A" w:rsidRDefault="003D13B0" w:rsidP="003D13B0">
      <w:pPr>
        <w:pStyle w:val="FootnoteText"/>
      </w:pPr>
      <w:r>
        <w:rPr>
          <w:rStyle w:val="FootnoteReference"/>
        </w:rPr>
        <w:footnoteRef/>
      </w:r>
      <w:r>
        <w:t xml:space="preserve"> </w:t>
      </w:r>
      <w:r>
        <w:tab/>
        <w:t xml:space="preserve">The CJEU underlined on several occasions the importance of the freedom to refer questions under Article 267 TFEU. See CJEU judgment in </w:t>
      </w:r>
      <w:r w:rsidRPr="00E5293A">
        <w:t>C-564/19</w:t>
      </w:r>
      <w:r>
        <w:t xml:space="preserve">, </w:t>
      </w:r>
      <w:r w:rsidRPr="00E5293A">
        <w:rPr>
          <w:i/>
          <w:iCs/>
        </w:rPr>
        <w:t>IS</w:t>
      </w:r>
      <w:r>
        <w:t>.</w:t>
      </w:r>
    </w:p>
  </w:footnote>
  <w:footnote w:id="36">
    <w:p w14:paraId="18BA63B8" w14:textId="77777777" w:rsidR="003D13B0" w:rsidRPr="008B62E0" w:rsidRDefault="003D13B0" w:rsidP="003D13B0">
      <w:pPr>
        <w:pStyle w:val="FootnoteText"/>
      </w:pPr>
      <w:r>
        <w:rPr>
          <w:rStyle w:val="FootnoteReference"/>
        </w:rPr>
        <w:footnoteRef/>
      </w:r>
      <w:r>
        <w:t xml:space="preserve"> </w:t>
      </w:r>
      <w:r>
        <w:tab/>
      </w:r>
      <w:r w:rsidRPr="009A5638">
        <w:t>Government Emergency Ordinance No. 156/2024 on certain fiscal-budgetary measures in the field of public expenditure for the substantiation of the consolidated general budget for 2025</w:t>
      </w:r>
      <w:r>
        <w:t>; extended to 2026.</w:t>
      </w:r>
    </w:p>
  </w:footnote>
  <w:footnote w:id="37">
    <w:p w14:paraId="4190366D" w14:textId="77777777" w:rsidR="003D13B0" w:rsidRPr="000B0040" w:rsidRDefault="003D13B0" w:rsidP="003D13B0">
      <w:pPr>
        <w:pStyle w:val="FootnoteText"/>
      </w:pPr>
      <w:r>
        <w:rPr>
          <w:rStyle w:val="FootnoteReference"/>
        </w:rPr>
        <w:footnoteRef/>
      </w:r>
      <w:r>
        <w:t xml:space="preserve"> </w:t>
      </w:r>
      <w:r>
        <w:tab/>
        <w:t>A legislation of</w:t>
      </w:r>
      <w:r w:rsidRPr="000B0040">
        <w:t xml:space="preserve"> 16</w:t>
      </w:r>
      <w:r>
        <w:rPr>
          <w:vertAlign w:val="superscript"/>
        </w:rPr>
        <w:t xml:space="preserve"> </w:t>
      </w:r>
      <w:r w:rsidRPr="000B0040">
        <w:t xml:space="preserve">April 2026 </w:t>
      </w:r>
      <w:r>
        <w:t>allows</w:t>
      </w:r>
      <w:r w:rsidRPr="000B0040">
        <w:t xml:space="preserve"> the organi</w:t>
      </w:r>
      <w:r>
        <w:t>s</w:t>
      </w:r>
      <w:r w:rsidRPr="000B0040">
        <w:t>ation of competitions in duly justified cases, with the approval of the Government.</w:t>
      </w:r>
    </w:p>
  </w:footnote>
  <w:footnote w:id="38">
    <w:p w14:paraId="5484D05C" w14:textId="77777777" w:rsidR="003D13B0" w:rsidRPr="00474078" w:rsidRDefault="003D13B0" w:rsidP="003D13B0">
      <w:pPr>
        <w:pStyle w:val="FootnoteText"/>
      </w:pPr>
      <w:r>
        <w:rPr>
          <w:rStyle w:val="FootnoteReference"/>
        </w:rPr>
        <w:footnoteRef/>
      </w:r>
      <w:r>
        <w:t xml:space="preserve"> </w:t>
      </w:r>
      <w:r>
        <w:tab/>
      </w:r>
      <w:r w:rsidRPr="00D97753">
        <w:t>Government Emergency Ordinance No. 93/2025 regarding certain temporary measures in the field of justice, as well as for the amendment of certain normative acts</w:t>
      </w:r>
      <w:r>
        <w:t xml:space="preserve">. See also </w:t>
      </w:r>
      <w:r w:rsidRPr="00BA40A2">
        <w:rPr>
          <w:lang w:val="en-IE"/>
        </w:rPr>
        <w:t>Romanian Government (2026), written input</w:t>
      </w:r>
      <w:r>
        <w:rPr>
          <w:lang w:val="en-IE"/>
        </w:rPr>
        <w:t>, p. 27.</w:t>
      </w:r>
    </w:p>
  </w:footnote>
  <w:footnote w:id="39">
    <w:p w14:paraId="063A2E52" w14:textId="77777777" w:rsidR="003D13B0" w:rsidRPr="003B7A01" w:rsidRDefault="003D13B0" w:rsidP="003D13B0">
      <w:pPr>
        <w:pStyle w:val="FootnoteText"/>
      </w:pPr>
      <w:r>
        <w:rPr>
          <w:rStyle w:val="FootnoteReference"/>
        </w:rPr>
        <w:footnoteRef/>
      </w:r>
      <w:r>
        <w:t xml:space="preserve"> </w:t>
      </w:r>
      <w:r>
        <w:tab/>
      </w:r>
      <w:r w:rsidRPr="00BA40A2">
        <w:rPr>
          <w:lang w:val="en-IE"/>
        </w:rPr>
        <w:t xml:space="preserve">Romanian Government (2026), written input, p. </w:t>
      </w:r>
      <w:r>
        <w:rPr>
          <w:lang w:val="en-IE"/>
        </w:rPr>
        <w:t xml:space="preserve">45. </w:t>
      </w:r>
      <w:r>
        <w:t>Country visit Romania, Prosecutor General and SCM. The idea is to establish</w:t>
      </w:r>
      <w:r w:rsidRPr="00BC676A">
        <w:t xml:space="preserve"> a single prosecutor's office at county level to operate alongside the first instance courts, and </w:t>
      </w:r>
      <w:r>
        <w:t>to transform</w:t>
      </w:r>
      <w:r w:rsidRPr="00BC676A">
        <w:t xml:space="preserve"> the other prosecutor's offices attached to the first instance courts in the county into secondary offices</w:t>
      </w:r>
      <w:r>
        <w:t>. A draft law was published on 24 February on the website of the Ministry for public consultation.</w:t>
      </w:r>
    </w:p>
  </w:footnote>
  <w:footnote w:id="40">
    <w:p w14:paraId="010FAB8D" w14:textId="77777777" w:rsidR="003D13B0" w:rsidRPr="008D73E7" w:rsidRDefault="003D13B0" w:rsidP="003D13B0">
      <w:pPr>
        <w:pStyle w:val="FootnoteText"/>
      </w:pPr>
      <w:r>
        <w:rPr>
          <w:rStyle w:val="FootnoteReference"/>
        </w:rPr>
        <w:footnoteRef/>
      </w:r>
      <w:r>
        <w:t xml:space="preserve"> </w:t>
      </w:r>
      <w:r>
        <w:tab/>
      </w:r>
      <w:r>
        <w:rPr>
          <w:noProof/>
          <w:szCs w:val="22"/>
          <w:lang w:eastAsia="fr-FR"/>
        </w:rPr>
        <w:t>A</w:t>
      </w:r>
      <w:r w:rsidRPr="00927F14">
        <w:rPr>
          <w:noProof/>
          <w:szCs w:val="22"/>
          <w:lang w:eastAsia="fr-FR"/>
        </w:rPr>
        <w:t xml:space="preserve">t the beginning of 2025, </w:t>
      </w:r>
      <w:r>
        <w:rPr>
          <w:noProof/>
          <w:szCs w:val="22"/>
          <w:lang w:eastAsia="fr-FR"/>
        </w:rPr>
        <w:t>it</w:t>
      </w:r>
      <w:r w:rsidRPr="00927F14">
        <w:rPr>
          <w:noProof/>
          <w:szCs w:val="22"/>
          <w:lang w:eastAsia="fr-FR"/>
        </w:rPr>
        <w:t xml:space="preserve"> was of 83%</w:t>
      </w:r>
      <w:r>
        <w:rPr>
          <w:noProof/>
          <w:szCs w:val="22"/>
          <w:lang w:eastAsia="fr-FR"/>
        </w:rPr>
        <w:t>. 2025 Rule of Law Report, Romania, p. 5.</w:t>
      </w:r>
    </w:p>
  </w:footnote>
  <w:footnote w:id="41">
    <w:p w14:paraId="5134F6B2" w14:textId="77777777" w:rsidR="003D13B0" w:rsidRPr="00B66A5C" w:rsidRDefault="003D13B0" w:rsidP="003D13B0">
      <w:pPr>
        <w:pStyle w:val="FootnoteText"/>
      </w:pPr>
      <w:r>
        <w:rPr>
          <w:rStyle w:val="FootnoteReference"/>
        </w:rPr>
        <w:footnoteRef/>
      </w:r>
      <w:r>
        <w:t xml:space="preserve"> </w:t>
      </w:r>
      <w:r>
        <w:tab/>
      </w:r>
      <w:r>
        <w:rPr>
          <w:noProof/>
          <w:szCs w:val="22"/>
          <w:lang w:eastAsia="fr-FR"/>
        </w:rPr>
        <w:t>A</w:t>
      </w:r>
      <w:r w:rsidRPr="00927F14">
        <w:rPr>
          <w:noProof/>
          <w:szCs w:val="22"/>
          <w:lang w:eastAsia="fr-FR"/>
        </w:rPr>
        <w:t xml:space="preserve">t the beginning of 2025, </w:t>
      </w:r>
      <w:r>
        <w:rPr>
          <w:noProof/>
          <w:szCs w:val="22"/>
          <w:lang w:eastAsia="fr-FR"/>
        </w:rPr>
        <w:t>it</w:t>
      </w:r>
      <w:r w:rsidRPr="00927F14">
        <w:rPr>
          <w:noProof/>
          <w:szCs w:val="22"/>
          <w:lang w:eastAsia="fr-FR"/>
        </w:rPr>
        <w:t xml:space="preserve"> was of 74%</w:t>
      </w:r>
      <w:r>
        <w:rPr>
          <w:noProof/>
          <w:szCs w:val="22"/>
          <w:lang w:eastAsia="fr-FR"/>
        </w:rPr>
        <w:t>. Ibidem.</w:t>
      </w:r>
    </w:p>
  </w:footnote>
  <w:footnote w:id="42">
    <w:p w14:paraId="77E8E686" w14:textId="14698DFF" w:rsidR="003D13B0" w:rsidRPr="00D21A7A" w:rsidRDefault="003D13B0" w:rsidP="003D13B0">
      <w:pPr>
        <w:pStyle w:val="FootnoteText"/>
        <w:rPr>
          <w:lang w:val="en-IE"/>
        </w:rPr>
      </w:pPr>
      <w:r>
        <w:rPr>
          <w:rStyle w:val="FootnoteReference"/>
        </w:rPr>
        <w:footnoteRef/>
      </w:r>
      <w:r>
        <w:t xml:space="preserve"> </w:t>
      </w:r>
      <w:r>
        <w:tab/>
      </w:r>
      <w:r w:rsidRPr="00C92743">
        <w:t>Decision of the Section for Judges no. 144/06.02.2026</w:t>
      </w:r>
      <w:r>
        <w:t xml:space="preserve">. The most frequently signaled issues </w:t>
      </w:r>
      <w:r w:rsidRPr="00B705C2">
        <w:t xml:space="preserve">relate to the excessive volume of activity, encompassing </w:t>
      </w:r>
      <w:r>
        <w:t>insufficient</w:t>
      </w:r>
      <w:r w:rsidRPr="00B705C2">
        <w:t xml:space="preserve"> staffing, </w:t>
      </w:r>
      <w:r>
        <w:t xml:space="preserve">a </w:t>
      </w:r>
      <w:r w:rsidRPr="00B705C2">
        <w:t xml:space="preserve">high number of vacancies, and </w:t>
      </w:r>
      <w:r>
        <w:t xml:space="preserve">an </w:t>
      </w:r>
      <w:r w:rsidRPr="00B705C2">
        <w:t>acute need for a workload regulation mechanism.</w:t>
      </w:r>
      <w:r>
        <w:t xml:space="preserve"> SCM(2026) additional input.</w:t>
      </w:r>
    </w:p>
  </w:footnote>
  <w:footnote w:id="43">
    <w:p w14:paraId="3CE0A282" w14:textId="70776C41" w:rsidR="003D13B0" w:rsidRPr="00F2105F" w:rsidRDefault="003D13B0" w:rsidP="003D13B0">
      <w:pPr>
        <w:pStyle w:val="FootnoteText"/>
      </w:pPr>
      <w:r>
        <w:rPr>
          <w:rStyle w:val="FootnoteReference"/>
        </w:rPr>
        <w:footnoteRef/>
      </w:r>
      <w:r>
        <w:t xml:space="preserve"> </w:t>
      </w:r>
      <w:r>
        <w:tab/>
        <w:t>Country visit Romania, Magistrates’ associations.</w:t>
      </w:r>
      <w:r w:rsidRPr="00161B3F">
        <w:t xml:space="preserve"> </w:t>
      </w:r>
      <w:r>
        <w:t>See also EAJ(2026)</w:t>
      </w:r>
      <w:r w:rsidR="00276495">
        <w:t>, p. 26.</w:t>
      </w:r>
    </w:p>
  </w:footnote>
  <w:footnote w:id="44">
    <w:p w14:paraId="10C72A93" w14:textId="77777777" w:rsidR="003D13B0" w:rsidRPr="004B1B04" w:rsidRDefault="003D13B0" w:rsidP="003D13B0">
      <w:pPr>
        <w:pStyle w:val="FootnoteText"/>
      </w:pPr>
      <w:r>
        <w:rPr>
          <w:rStyle w:val="FootnoteReference"/>
        </w:rPr>
        <w:footnoteRef/>
      </w:r>
      <w:r>
        <w:t xml:space="preserve"> </w:t>
      </w:r>
      <w:r>
        <w:tab/>
      </w:r>
      <w:r w:rsidRPr="00AD4D6F">
        <w:rPr>
          <w:bCs/>
          <w:lang w:val="en-IE" w:eastAsia="fr-FR"/>
        </w:rPr>
        <w:t>2583 judges participat</w:t>
      </w:r>
      <w:r>
        <w:rPr>
          <w:bCs/>
          <w:lang w:val="en-IE" w:eastAsia="fr-FR"/>
        </w:rPr>
        <w:t>ed</w:t>
      </w:r>
      <w:r w:rsidRPr="00AD4D6F">
        <w:rPr>
          <w:bCs/>
          <w:lang w:val="en-IE" w:eastAsia="fr-FR"/>
        </w:rPr>
        <w:t xml:space="preserve"> in the consultation process, representing 56.50% of </w:t>
      </w:r>
      <w:r>
        <w:rPr>
          <w:bCs/>
          <w:lang w:val="en-IE" w:eastAsia="fr-FR"/>
        </w:rPr>
        <w:t xml:space="preserve">all active </w:t>
      </w:r>
      <w:r w:rsidRPr="00AD4D6F">
        <w:rPr>
          <w:bCs/>
          <w:lang w:val="en-IE" w:eastAsia="fr-FR"/>
        </w:rPr>
        <w:t>judges</w:t>
      </w:r>
      <w:r>
        <w:t>. Romanian Government (2026), written input, p. 22.</w:t>
      </w:r>
    </w:p>
  </w:footnote>
  <w:footnote w:id="45">
    <w:p w14:paraId="43B8F89B" w14:textId="77777777" w:rsidR="003D13B0" w:rsidRPr="00D43E7B" w:rsidRDefault="003D13B0" w:rsidP="003D13B0">
      <w:pPr>
        <w:pStyle w:val="FootnoteText"/>
      </w:pPr>
      <w:r>
        <w:rPr>
          <w:rStyle w:val="FootnoteReference"/>
        </w:rPr>
        <w:footnoteRef/>
      </w:r>
      <w:r>
        <w:t xml:space="preserve"> </w:t>
      </w:r>
      <w:r>
        <w:tab/>
      </w:r>
      <w:r w:rsidRPr="00D43E7B">
        <w:t>Currently, retirement with full pension rights is possible after 25 years of service upon reaching the age of 49. The retirement age will increase by one year annually, reaching 64 in 2041, at which point full pension rights will be granted to those with at least 25 years of service and a minimum of 34 years of total work experience.</w:t>
      </w:r>
    </w:p>
  </w:footnote>
  <w:footnote w:id="46">
    <w:p w14:paraId="2A263CC9" w14:textId="77777777" w:rsidR="003D13B0" w:rsidRPr="00BA40A2" w:rsidRDefault="003D13B0" w:rsidP="003D13B0">
      <w:pPr>
        <w:pStyle w:val="FootnoteText"/>
        <w:rPr>
          <w:lang w:val="en-IE"/>
        </w:rPr>
      </w:pPr>
      <w:r>
        <w:rPr>
          <w:rStyle w:val="FootnoteReference"/>
        </w:rPr>
        <w:footnoteRef/>
      </w:r>
      <w:r w:rsidRPr="00BA40A2">
        <w:rPr>
          <w:lang w:val="en-IE"/>
        </w:rPr>
        <w:t xml:space="preserve"> </w:t>
      </w:r>
      <w:r w:rsidRPr="00BA40A2">
        <w:rPr>
          <w:lang w:val="en-IE"/>
        </w:rPr>
        <w:tab/>
        <w:t>Romanian Government (2026), written input, p</w:t>
      </w:r>
      <w:r>
        <w:rPr>
          <w:lang w:val="en-IE"/>
        </w:rPr>
        <w:t>p</w:t>
      </w:r>
      <w:r w:rsidRPr="00BA40A2">
        <w:rPr>
          <w:lang w:val="en-IE"/>
        </w:rPr>
        <w:t xml:space="preserve">. </w:t>
      </w:r>
      <w:r>
        <w:rPr>
          <w:lang w:val="en-IE"/>
        </w:rPr>
        <w:t>10ff. and country visit Romania, SCM.</w:t>
      </w:r>
    </w:p>
  </w:footnote>
  <w:footnote w:id="47">
    <w:p w14:paraId="17F6A2C5" w14:textId="77777777" w:rsidR="003D13B0" w:rsidRPr="00757392" w:rsidRDefault="003D13B0" w:rsidP="003D13B0">
      <w:pPr>
        <w:pStyle w:val="FootnoteText"/>
        <w:rPr>
          <w:lang w:val="en-IE"/>
        </w:rPr>
      </w:pPr>
      <w:r>
        <w:rPr>
          <w:rStyle w:val="FootnoteReference"/>
        </w:rPr>
        <w:footnoteRef/>
      </w:r>
      <w:r>
        <w:t xml:space="preserve"> </w:t>
      </w:r>
      <w:r w:rsidRPr="00757392">
        <w:rPr>
          <w:lang w:val="en-IE"/>
        </w:rPr>
        <w:tab/>
      </w:r>
      <w:r w:rsidRPr="008A2295">
        <w:rPr>
          <w:lang w:val="en-IE"/>
        </w:rPr>
        <w:t xml:space="preserve">Country visit </w:t>
      </w:r>
      <w:r>
        <w:rPr>
          <w:lang w:val="en-IE"/>
        </w:rPr>
        <w:t>Romania, the Government.</w:t>
      </w:r>
    </w:p>
  </w:footnote>
  <w:footnote w:id="48">
    <w:p w14:paraId="6BCF186F" w14:textId="77777777" w:rsidR="003D13B0" w:rsidRPr="0028143D" w:rsidRDefault="003D13B0" w:rsidP="003D13B0">
      <w:pPr>
        <w:pStyle w:val="FootnoteText"/>
        <w:rPr>
          <w:lang w:val="en-IE"/>
        </w:rPr>
      </w:pPr>
      <w:r>
        <w:rPr>
          <w:rStyle w:val="FootnoteReference"/>
        </w:rPr>
        <w:footnoteRef/>
      </w:r>
      <w:r w:rsidRPr="0028143D">
        <w:rPr>
          <w:lang w:val="en-IE"/>
        </w:rPr>
        <w:t xml:space="preserve"> </w:t>
      </w:r>
      <w:r w:rsidRPr="0028143D">
        <w:rPr>
          <w:lang w:val="en-IE"/>
        </w:rPr>
        <w:tab/>
        <w:t>EUR 26 million in 2024.</w:t>
      </w:r>
    </w:p>
  </w:footnote>
  <w:footnote w:id="49">
    <w:p w14:paraId="02E9555C" w14:textId="77777777" w:rsidR="003D13B0" w:rsidRPr="0028143D" w:rsidRDefault="003D13B0" w:rsidP="003D13B0">
      <w:pPr>
        <w:pStyle w:val="FootnoteText"/>
        <w:rPr>
          <w:lang w:val="en-IE"/>
        </w:rPr>
      </w:pPr>
      <w:r>
        <w:rPr>
          <w:rStyle w:val="FootnoteReference"/>
        </w:rPr>
        <w:footnoteRef/>
      </w:r>
      <w:r w:rsidRPr="0028143D">
        <w:rPr>
          <w:lang w:val="en-IE"/>
        </w:rPr>
        <w:t xml:space="preserve"> </w:t>
      </w:r>
      <w:r w:rsidRPr="0028143D">
        <w:rPr>
          <w:lang w:val="en-IE"/>
        </w:rPr>
        <w:tab/>
        <w:t>CCBE (2026), written input, p. 17 and 20.</w:t>
      </w:r>
    </w:p>
  </w:footnote>
  <w:footnote w:id="50">
    <w:p w14:paraId="4C7C67CA" w14:textId="77777777" w:rsidR="003D13B0" w:rsidRPr="00520FDF" w:rsidRDefault="003D13B0" w:rsidP="003D13B0">
      <w:pPr>
        <w:pStyle w:val="FootnoteText"/>
      </w:pPr>
      <w:r>
        <w:rPr>
          <w:rStyle w:val="FootnoteReference"/>
        </w:rPr>
        <w:footnoteRef/>
      </w:r>
      <w:r>
        <w:t xml:space="preserve"> </w:t>
      </w:r>
      <w:r>
        <w:tab/>
      </w:r>
      <w:r w:rsidRPr="005C5B61">
        <w:t xml:space="preserve">According to the UNBR, the total number of beneficiaries (of 41 counties - 2 missing as they didn’t send the requested data) </w:t>
      </w:r>
      <w:r>
        <w:t>in 2025</w:t>
      </w:r>
      <w:r w:rsidRPr="005C5B61">
        <w:t xml:space="preserve"> </w:t>
      </w:r>
      <w:r>
        <w:t>was</w:t>
      </w:r>
      <w:r w:rsidRPr="005C5B61">
        <w:t xml:space="preserve"> 12</w:t>
      </w:r>
      <w:r>
        <w:t xml:space="preserve"> </w:t>
      </w:r>
      <w:r w:rsidRPr="005C5B61">
        <w:t>093.</w:t>
      </w:r>
    </w:p>
  </w:footnote>
  <w:footnote w:id="51">
    <w:p w14:paraId="5BA68128" w14:textId="77777777" w:rsidR="003D13B0" w:rsidRPr="00BD486C" w:rsidRDefault="003D13B0" w:rsidP="003D13B0">
      <w:pPr>
        <w:pStyle w:val="FootnoteText"/>
        <w:rPr>
          <w:lang w:val="en-IE"/>
        </w:rPr>
      </w:pPr>
      <w:r>
        <w:rPr>
          <w:rStyle w:val="FootnoteReference"/>
        </w:rPr>
        <w:footnoteRef/>
      </w:r>
      <w:r>
        <w:t xml:space="preserve"> </w:t>
      </w:r>
      <w:r w:rsidRPr="00BD486C">
        <w:rPr>
          <w:lang w:val="en-IE"/>
        </w:rPr>
        <w:tab/>
        <w:t xml:space="preserve">49% below the Eurostat poverty </w:t>
      </w:r>
      <w:r>
        <w:rPr>
          <w:lang w:val="en-IE"/>
        </w:rPr>
        <w:t xml:space="preserve">threshold. </w:t>
      </w:r>
      <w:r w:rsidRPr="00BD486C">
        <w:rPr>
          <w:lang w:val="en-IE"/>
        </w:rPr>
        <w:t>Figure 2</w:t>
      </w:r>
      <w:r>
        <w:rPr>
          <w:lang w:val="en-IE"/>
        </w:rPr>
        <w:t>2</w:t>
      </w:r>
      <w:r w:rsidRPr="00BD486C">
        <w:rPr>
          <w:lang w:val="en-IE"/>
        </w:rPr>
        <w:t xml:space="preserve">, EU Justice Scoreboard, </w:t>
      </w:r>
      <w:r>
        <w:rPr>
          <w:lang w:val="en-IE"/>
        </w:rPr>
        <w:t xml:space="preserve">data </w:t>
      </w:r>
      <w:r w:rsidRPr="00BD486C">
        <w:rPr>
          <w:lang w:val="en-IE"/>
        </w:rPr>
        <w:t>collected by</w:t>
      </w:r>
      <w:r>
        <w:rPr>
          <w:lang w:val="en-IE"/>
        </w:rPr>
        <w:t xml:space="preserve"> CCBE.</w:t>
      </w:r>
    </w:p>
  </w:footnote>
  <w:footnote w:id="52">
    <w:p w14:paraId="1DB5C508" w14:textId="77777777" w:rsidR="003D13B0" w:rsidRPr="00906B02" w:rsidRDefault="003D13B0" w:rsidP="003D13B0">
      <w:pPr>
        <w:pStyle w:val="FootnoteText"/>
      </w:pPr>
      <w:r>
        <w:rPr>
          <w:rStyle w:val="FootnoteReference"/>
        </w:rPr>
        <w:footnoteRef/>
      </w:r>
      <w:r>
        <w:t xml:space="preserve"> </w:t>
      </w:r>
      <w:r>
        <w:tab/>
        <w:t>CSOs.</w:t>
      </w:r>
    </w:p>
  </w:footnote>
  <w:footnote w:id="53">
    <w:p w14:paraId="61549427" w14:textId="77777777" w:rsidR="003D13B0" w:rsidRPr="009627BD" w:rsidRDefault="003D13B0" w:rsidP="003D13B0">
      <w:pPr>
        <w:pStyle w:val="FootnoteText"/>
        <w:rPr>
          <w:lang w:val="en-IE"/>
        </w:rPr>
      </w:pPr>
      <w:r>
        <w:rPr>
          <w:rStyle w:val="FootnoteReference"/>
        </w:rPr>
        <w:footnoteRef/>
      </w:r>
      <w:r>
        <w:t xml:space="preserve"> </w:t>
      </w:r>
      <w:r w:rsidRPr="009627BD">
        <w:rPr>
          <w:lang w:val="en-IE"/>
        </w:rPr>
        <w:tab/>
      </w:r>
      <w:r>
        <w:rPr>
          <w:lang w:val="en-IE"/>
        </w:rPr>
        <w:t>The e</w:t>
      </w:r>
      <w:r w:rsidRPr="00C85383">
        <w:rPr>
          <w:lang w:val="en-IE"/>
        </w:rPr>
        <w:t xml:space="preserve">lectronic access of case files/e-files (positively assessed under </w:t>
      </w:r>
      <w:r>
        <w:rPr>
          <w:lang w:val="en-IE"/>
        </w:rPr>
        <w:t>payment request 4</w:t>
      </w:r>
      <w:r w:rsidRPr="00C85383">
        <w:rPr>
          <w:lang w:val="en-IE"/>
        </w:rPr>
        <w:t>),</w:t>
      </w:r>
      <w:r>
        <w:rPr>
          <w:lang w:val="en-IE"/>
        </w:rPr>
        <w:t xml:space="preserve"> while the</w:t>
      </w:r>
      <w:r w:rsidRPr="00C85383">
        <w:rPr>
          <w:lang w:val="en-IE"/>
        </w:rPr>
        <w:t xml:space="preserve"> ECRIS V system, </w:t>
      </w:r>
      <w:r>
        <w:rPr>
          <w:lang w:val="en-IE"/>
        </w:rPr>
        <w:t xml:space="preserve">the </w:t>
      </w:r>
      <w:r w:rsidRPr="00C85383">
        <w:rPr>
          <w:lang w:val="en-IE"/>
        </w:rPr>
        <w:t>data cent</w:t>
      </w:r>
      <w:r>
        <w:rPr>
          <w:lang w:val="en-IE"/>
        </w:rPr>
        <w:t>re</w:t>
      </w:r>
      <w:r w:rsidRPr="00C85383">
        <w:rPr>
          <w:lang w:val="en-IE"/>
        </w:rPr>
        <w:t xml:space="preserve"> for </w:t>
      </w:r>
      <w:r>
        <w:rPr>
          <w:lang w:val="en-IE"/>
        </w:rPr>
        <w:t xml:space="preserve">the </w:t>
      </w:r>
      <w:r w:rsidRPr="00C85383">
        <w:rPr>
          <w:lang w:val="en-IE"/>
        </w:rPr>
        <w:t>judiciary</w:t>
      </w:r>
      <w:r>
        <w:rPr>
          <w:lang w:val="en-IE"/>
        </w:rPr>
        <w:t xml:space="preserve"> and the</w:t>
      </w:r>
      <w:r w:rsidRPr="00C85383">
        <w:rPr>
          <w:lang w:val="en-IE"/>
        </w:rPr>
        <w:t xml:space="preserve"> IT&amp;C equipment</w:t>
      </w:r>
      <w:r>
        <w:rPr>
          <w:lang w:val="en-IE"/>
        </w:rPr>
        <w:t xml:space="preserve"> will be completed by August 2026 and assessed under the payment request 6</w:t>
      </w:r>
      <w:r w:rsidRPr="00C85383">
        <w:rPr>
          <w:lang w:val="en-IE"/>
        </w:rPr>
        <w:t xml:space="preserve">. </w:t>
      </w:r>
    </w:p>
  </w:footnote>
  <w:footnote w:id="54">
    <w:p w14:paraId="04C48A9E" w14:textId="77777777" w:rsidR="003D13B0" w:rsidRPr="00D21A7A" w:rsidRDefault="003D13B0" w:rsidP="003D13B0">
      <w:pPr>
        <w:pStyle w:val="FootnoteText"/>
        <w:rPr>
          <w:lang w:val="en-IE"/>
        </w:rPr>
      </w:pPr>
      <w:r>
        <w:rPr>
          <w:rStyle w:val="FootnoteReference"/>
        </w:rPr>
        <w:footnoteRef/>
      </w:r>
      <w:r>
        <w:t xml:space="preserve"> </w:t>
      </w:r>
      <w:r>
        <w:tab/>
      </w:r>
      <w:r w:rsidRPr="004248EB">
        <w:rPr>
          <w:rFonts w:cstheme="minorHAnsi"/>
          <w:lang w:val="en-IE"/>
        </w:rPr>
        <w:t>@just.ro</w:t>
      </w:r>
      <w:r>
        <w:rPr>
          <w:rFonts w:cstheme="minorHAnsi"/>
          <w:lang w:val="en-IE"/>
        </w:rPr>
        <w:t>.</w:t>
      </w:r>
      <w:r w:rsidRPr="00D21A7A">
        <w:rPr>
          <w:lang w:val="en-IE"/>
        </w:rPr>
        <w:t xml:space="preserve"> </w:t>
      </w:r>
    </w:p>
  </w:footnote>
  <w:footnote w:id="55">
    <w:p w14:paraId="030678D6" w14:textId="77777777" w:rsidR="003D13B0" w:rsidRPr="009C1256" w:rsidRDefault="003D13B0" w:rsidP="003D13B0">
      <w:pPr>
        <w:pStyle w:val="FootnoteText"/>
      </w:pPr>
      <w:r>
        <w:rPr>
          <w:rStyle w:val="FootnoteReference"/>
        </w:rPr>
        <w:footnoteRef/>
      </w:r>
      <w:r>
        <w:t xml:space="preserve"> </w:t>
      </w:r>
      <w:r>
        <w:tab/>
        <w:t>See 2025 Rule of Law, Romania, p. 5. SCM(2026), additional input.</w:t>
      </w:r>
    </w:p>
  </w:footnote>
  <w:footnote w:id="56">
    <w:p w14:paraId="2A566E61" w14:textId="77777777" w:rsidR="003D13B0" w:rsidRPr="00340D68" w:rsidRDefault="003D13B0" w:rsidP="003D13B0">
      <w:pPr>
        <w:pStyle w:val="FootnoteText"/>
      </w:pPr>
      <w:r>
        <w:rPr>
          <w:rStyle w:val="FootnoteReference"/>
        </w:rPr>
        <w:footnoteRef/>
      </w:r>
      <w:r>
        <w:t xml:space="preserve"> </w:t>
      </w:r>
      <w:r>
        <w:tab/>
        <w:t>According to the SCM, access of the executive to documents linked to specific court cases could raise questions with regard to the independence of the judiciary. See 2025 Rule of Law Report, p. 5.</w:t>
      </w:r>
    </w:p>
  </w:footnote>
  <w:footnote w:id="57">
    <w:p w14:paraId="50D54167" w14:textId="77777777" w:rsidR="003D13B0" w:rsidRPr="000E3AB2" w:rsidRDefault="003D13B0" w:rsidP="003D13B0">
      <w:pPr>
        <w:pStyle w:val="FootnoteText"/>
      </w:pPr>
      <w:r>
        <w:rPr>
          <w:rStyle w:val="FootnoteReference"/>
        </w:rPr>
        <w:footnoteRef/>
      </w:r>
      <w:r>
        <w:t xml:space="preserve"> </w:t>
      </w:r>
      <w:r>
        <w:tab/>
      </w:r>
      <w:r w:rsidRPr="000E3AB2">
        <w:t xml:space="preserve">Romanian Government (2026), written input, p. </w:t>
      </w:r>
      <w:r>
        <w:t>37</w:t>
      </w:r>
      <w:r w:rsidRPr="000E3AB2">
        <w:t>.</w:t>
      </w:r>
    </w:p>
  </w:footnote>
  <w:footnote w:id="58">
    <w:p w14:paraId="203AE5CF" w14:textId="77777777" w:rsidR="003D13B0" w:rsidRPr="005C31E0" w:rsidRDefault="003D13B0" w:rsidP="003D13B0">
      <w:pPr>
        <w:pStyle w:val="FootnoteText"/>
      </w:pPr>
      <w:r>
        <w:rPr>
          <w:rStyle w:val="FootnoteReference"/>
        </w:rPr>
        <w:footnoteRef/>
      </w:r>
      <w:r>
        <w:t xml:space="preserve"> </w:t>
      </w:r>
      <w:r>
        <w:tab/>
        <w:t>Ibidem</w:t>
      </w:r>
      <w:r w:rsidRPr="000E3AB2">
        <w:t xml:space="preserve">, p. </w:t>
      </w:r>
      <w:r>
        <w:t>38</w:t>
      </w:r>
      <w:r w:rsidRPr="000E3AB2">
        <w:t>.</w:t>
      </w:r>
    </w:p>
  </w:footnote>
  <w:footnote w:id="59">
    <w:p w14:paraId="0E8F046D" w14:textId="77777777" w:rsidR="003D13B0" w:rsidRPr="0085688A" w:rsidRDefault="003D13B0" w:rsidP="003D13B0">
      <w:pPr>
        <w:pStyle w:val="FootnoteText"/>
      </w:pPr>
      <w:r>
        <w:rPr>
          <w:rStyle w:val="FootnoteReference"/>
        </w:rPr>
        <w:footnoteRef/>
      </w:r>
      <w:r>
        <w:t xml:space="preserve"> </w:t>
      </w:r>
      <w:r>
        <w:tab/>
        <w:t>SCM(2026), additional input.</w:t>
      </w:r>
    </w:p>
  </w:footnote>
  <w:footnote w:id="60">
    <w:p w14:paraId="1FA9955A" w14:textId="77777777" w:rsidR="003D13B0" w:rsidRPr="0028143D" w:rsidRDefault="003D13B0" w:rsidP="003D13B0">
      <w:pPr>
        <w:pStyle w:val="FootnoteText"/>
        <w:rPr>
          <w:lang w:val="en-IE"/>
        </w:rPr>
      </w:pPr>
      <w:r>
        <w:rPr>
          <w:rStyle w:val="FootnoteReference"/>
        </w:rPr>
        <w:footnoteRef/>
      </w:r>
      <w:r>
        <w:t xml:space="preserve"> </w:t>
      </w:r>
      <w:r w:rsidRPr="0028143D">
        <w:rPr>
          <w:lang w:val="en-IE"/>
        </w:rPr>
        <w:tab/>
        <w:t>CCBE(2026), wr</w:t>
      </w:r>
      <w:r>
        <w:rPr>
          <w:lang w:val="en-IE"/>
        </w:rPr>
        <w:t>itten input, p. 22.</w:t>
      </w:r>
    </w:p>
  </w:footnote>
  <w:footnote w:id="61">
    <w:p w14:paraId="4CBF1F6F" w14:textId="08C8DB13" w:rsidR="00E018DF" w:rsidRPr="00E018DF" w:rsidRDefault="00E018DF">
      <w:pPr>
        <w:pStyle w:val="FootnoteText"/>
      </w:pPr>
      <w:r w:rsidRPr="00CC0147">
        <w:rPr>
          <w:rStyle w:val="FootnoteReference"/>
        </w:rPr>
        <w:footnoteRef/>
      </w:r>
      <w:r w:rsidRPr="00CC0147">
        <w:tab/>
      </w:r>
      <w:r w:rsidR="00C55522" w:rsidRPr="00CC0147">
        <w:t>These working groups are focusing on identifying practical use cases, assessing operational needs and developing common principles and future regulatory solutions, building on with the overarching objectives of enhancing the security, efficiency and transparency of judicial activities. See: www.justai.presidency.ro .</w:t>
      </w:r>
    </w:p>
  </w:footnote>
  <w:footnote w:id="62">
    <w:p w14:paraId="47D369AC" w14:textId="77777777" w:rsidR="003D13B0" w:rsidRPr="002D646D" w:rsidRDefault="003D13B0" w:rsidP="003D13B0">
      <w:pPr>
        <w:pStyle w:val="FootnoteText"/>
      </w:pPr>
      <w:r>
        <w:rPr>
          <w:rStyle w:val="FootnoteReference"/>
        </w:rPr>
        <w:footnoteRef/>
      </w:r>
      <w:r>
        <w:t xml:space="preserve"> </w:t>
      </w:r>
      <w:r>
        <w:tab/>
        <w:t>Figures 2, 5 and 10, 2026 EU Justice Scoreboard.</w:t>
      </w:r>
    </w:p>
  </w:footnote>
  <w:footnote w:id="63">
    <w:p w14:paraId="1489CC5F" w14:textId="77777777" w:rsidR="003D13B0" w:rsidRPr="007313A1" w:rsidRDefault="003D13B0" w:rsidP="003D13B0">
      <w:pPr>
        <w:pStyle w:val="FootnoteText"/>
      </w:pPr>
      <w:r>
        <w:rPr>
          <w:rStyle w:val="FootnoteReference"/>
        </w:rPr>
        <w:footnoteRef/>
      </w:r>
      <w:r>
        <w:t xml:space="preserve"> </w:t>
      </w:r>
      <w:r>
        <w:tab/>
        <w:t>Romanian Government (2026), written input p. 47. Country visit Romania, Superior Council of Magistracy and Prosecutor General. The Prosecutor General explained that it is not possible to prioritise cases over others which are less grounded, repetitive, or abusive.</w:t>
      </w:r>
    </w:p>
  </w:footnote>
  <w:footnote w:id="64">
    <w:p w14:paraId="057206AC" w14:textId="11C9C905" w:rsidR="003D13B0" w:rsidRPr="00BA5F3D" w:rsidRDefault="003D13B0" w:rsidP="003D13B0">
      <w:pPr>
        <w:pStyle w:val="FootnoteText"/>
      </w:pPr>
      <w:r>
        <w:rPr>
          <w:rStyle w:val="FootnoteReference"/>
        </w:rPr>
        <w:footnoteRef/>
      </w:r>
      <w:r w:rsidR="00764363">
        <w:t xml:space="preserve"> </w:t>
      </w:r>
      <w:r w:rsidR="00764363">
        <w:tab/>
      </w:r>
      <w:r>
        <w:t>Foreign Investors’ Council Romania (2026) written input, p. 1. Country visit Romania, Romanian Business Leaders and Concordia.</w:t>
      </w:r>
    </w:p>
  </w:footnote>
  <w:footnote w:id="65">
    <w:p w14:paraId="0276A3C5" w14:textId="77777777" w:rsidR="003D13B0" w:rsidRPr="005100AE" w:rsidRDefault="003D13B0" w:rsidP="003D13B0">
      <w:pPr>
        <w:pStyle w:val="FootnoteText"/>
      </w:pPr>
      <w:r w:rsidRPr="005100AE">
        <w:rPr>
          <w:rStyle w:val="FootnoteReference"/>
          <w:lang w:val="en-IE"/>
        </w:rPr>
        <w:footnoteRef/>
      </w:r>
      <w:r w:rsidRPr="005100AE">
        <w:t xml:space="preserve"> </w:t>
      </w:r>
      <w:r w:rsidRPr="005100AE">
        <w:tab/>
        <w:t>The level of perceived corruption is categorised as follows: low (above 79); relatively low (between 79-60), relatively high (between 59-50), high (below 50).</w:t>
      </w:r>
    </w:p>
  </w:footnote>
  <w:footnote w:id="66">
    <w:p w14:paraId="1C756149" w14:textId="77777777" w:rsidR="003D13B0" w:rsidRPr="005100AE" w:rsidRDefault="003D13B0" w:rsidP="003D13B0">
      <w:pPr>
        <w:pStyle w:val="FootnoteText"/>
      </w:pPr>
      <w:r w:rsidRPr="005100AE">
        <w:rPr>
          <w:rStyle w:val="FootnoteReference"/>
          <w:lang w:val="en-IE"/>
        </w:rPr>
        <w:footnoteRef/>
      </w:r>
      <w:r w:rsidRPr="005100AE">
        <w:t xml:space="preserve"> </w:t>
      </w:r>
      <w:r w:rsidRPr="005100AE">
        <w:tab/>
      </w:r>
      <w:r w:rsidRPr="00996E49">
        <w:t>In 2021, the</w:t>
      </w:r>
      <w:r w:rsidRPr="005100AE">
        <w:t xml:space="preserve"> score was</w:t>
      </w:r>
      <w:r>
        <w:t xml:space="preserve"> 45 and</w:t>
      </w:r>
      <w:r w:rsidRPr="005100AE">
        <w:t xml:space="preserve"> in </w:t>
      </w:r>
      <w:r w:rsidRPr="00996E49">
        <w:t>2025, the score</w:t>
      </w:r>
      <w:r w:rsidRPr="005100AE">
        <w:t xml:space="preserve"> </w:t>
      </w:r>
      <w:r>
        <w:t>remains 45</w:t>
      </w:r>
      <w:r w:rsidRPr="005100AE">
        <w:t>. The score significantly increases/decreases when it changes more than five points; improves/deteriorates (changes between 4-5 points) and is relatively stable (changes from 1-3 points) in the last five years.</w:t>
      </w:r>
    </w:p>
  </w:footnote>
  <w:footnote w:id="67">
    <w:p w14:paraId="5E21E125" w14:textId="0531773F" w:rsidR="003D13B0" w:rsidRPr="005100AE" w:rsidRDefault="003D13B0" w:rsidP="003D13B0">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p>
  </w:footnote>
  <w:footnote w:id="68">
    <w:p w14:paraId="54C73F0D" w14:textId="77777777" w:rsidR="003D13B0" w:rsidRPr="00E13763" w:rsidRDefault="003D13B0" w:rsidP="003D13B0">
      <w:pPr>
        <w:pStyle w:val="FootnoteText"/>
      </w:pPr>
      <w:r>
        <w:rPr>
          <w:rStyle w:val="FootnoteReference"/>
        </w:rPr>
        <w:footnoteRef/>
      </w:r>
      <w:r>
        <w:t xml:space="preserve"> </w:t>
      </w:r>
      <w:r>
        <w:tab/>
        <w:t>Final report of the evaluation of the 2021-2025 National Anti-Corruption Strategy.</w:t>
      </w:r>
    </w:p>
  </w:footnote>
  <w:footnote w:id="69">
    <w:p w14:paraId="7ACAC42A" w14:textId="6308937B" w:rsidR="003D13B0" w:rsidRPr="007F02FA" w:rsidRDefault="003D13B0" w:rsidP="003D13B0">
      <w:pPr>
        <w:pStyle w:val="FootnoteText"/>
      </w:pPr>
      <w:r>
        <w:rPr>
          <w:rStyle w:val="FootnoteReference"/>
        </w:rPr>
        <w:footnoteRef/>
      </w:r>
      <w:r>
        <w:t xml:space="preserve"> </w:t>
      </w:r>
      <w:r>
        <w:tab/>
        <w:t>Romanian Government (2026</w:t>
      </w:r>
      <w:r w:rsidR="00C0213D">
        <w:t>a</w:t>
      </w:r>
      <w:r>
        <w:t>), written input, p. 57-58. Country visit Romania, Ministry of Justice.</w:t>
      </w:r>
    </w:p>
  </w:footnote>
  <w:footnote w:id="70">
    <w:p w14:paraId="72829113" w14:textId="4032B0B6" w:rsidR="003C5E89" w:rsidRPr="003823C6" w:rsidRDefault="003C5E89" w:rsidP="003C5E89">
      <w:pPr>
        <w:pStyle w:val="FootnoteText"/>
        <w:rPr>
          <w:lang w:val="en-IE"/>
        </w:rPr>
      </w:pPr>
      <w:r>
        <w:rPr>
          <w:rStyle w:val="FootnoteReference"/>
        </w:rPr>
        <w:footnoteRef/>
      </w:r>
      <w:r>
        <w:t xml:space="preserve"> </w:t>
      </w:r>
      <w:r>
        <w:tab/>
      </w:r>
      <w:r w:rsidRPr="003823C6">
        <w:rPr>
          <w:lang w:val="en-IE"/>
        </w:rPr>
        <w:t xml:space="preserve">The legislative changes include </w:t>
      </w:r>
      <w:r>
        <w:rPr>
          <w:lang w:val="en-IE"/>
        </w:rPr>
        <w:t>the e</w:t>
      </w:r>
      <w:r w:rsidRPr="003823C6">
        <w:rPr>
          <w:lang w:val="en-IE"/>
        </w:rPr>
        <w:t>xten</w:t>
      </w:r>
      <w:r>
        <w:rPr>
          <w:lang w:val="en-IE"/>
        </w:rPr>
        <w:t xml:space="preserve">sion of </w:t>
      </w:r>
      <w:r w:rsidRPr="003823C6">
        <w:rPr>
          <w:lang w:val="en-IE"/>
        </w:rPr>
        <w:t>the</w:t>
      </w:r>
      <w:r>
        <w:rPr>
          <w:lang w:val="en-IE"/>
        </w:rPr>
        <w:t xml:space="preserve"> scope</w:t>
      </w:r>
      <w:r w:rsidRPr="003823C6">
        <w:rPr>
          <w:lang w:val="en-IE"/>
        </w:rPr>
        <w:t xml:space="preserve"> of the offence of</w:t>
      </w:r>
      <w:r>
        <w:rPr>
          <w:lang w:val="en-IE"/>
        </w:rPr>
        <w:t xml:space="preserve"> </w:t>
      </w:r>
      <w:r w:rsidRPr="003823C6">
        <w:rPr>
          <w:lang w:val="en-IE"/>
        </w:rPr>
        <w:t xml:space="preserve">corruption </w:t>
      </w:r>
      <w:r w:rsidR="003F1FB0" w:rsidRPr="00CC0147">
        <w:rPr>
          <w:lang w:val="en-IE"/>
        </w:rPr>
        <w:t xml:space="preserve">of </w:t>
      </w:r>
      <w:r w:rsidRPr="00CC0147">
        <w:rPr>
          <w:lang w:val="en-IE"/>
        </w:rPr>
        <w:t>foreign</w:t>
      </w:r>
      <w:r w:rsidRPr="003823C6">
        <w:rPr>
          <w:lang w:val="en-IE"/>
        </w:rPr>
        <w:t xml:space="preserve"> public</w:t>
      </w:r>
      <w:r>
        <w:rPr>
          <w:lang w:val="en-IE"/>
        </w:rPr>
        <w:t xml:space="preserve"> </w:t>
      </w:r>
      <w:r w:rsidRPr="003823C6">
        <w:rPr>
          <w:lang w:val="en-IE"/>
        </w:rPr>
        <w:t>officials;</w:t>
      </w:r>
      <w:r>
        <w:rPr>
          <w:lang w:val="en-IE"/>
        </w:rPr>
        <w:t xml:space="preserve"> an i</w:t>
      </w:r>
      <w:r w:rsidRPr="003823C6">
        <w:rPr>
          <w:lang w:val="en-IE"/>
        </w:rPr>
        <w:t>ncreas</w:t>
      </w:r>
      <w:r>
        <w:rPr>
          <w:lang w:val="en-IE"/>
        </w:rPr>
        <w:t>e of</w:t>
      </w:r>
      <w:r w:rsidRPr="003823C6">
        <w:rPr>
          <w:lang w:val="en-IE"/>
        </w:rPr>
        <w:t xml:space="preserve"> the amount of </w:t>
      </w:r>
      <w:r>
        <w:rPr>
          <w:lang w:val="en-IE"/>
        </w:rPr>
        <w:t>daily fines</w:t>
      </w:r>
      <w:r w:rsidRPr="003823C6">
        <w:rPr>
          <w:lang w:val="en-IE"/>
        </w:rPr>
        <w:t xml:space="preserve">, if </w:t>
      </w:r>
      <w:r>
        <w:rPr>
          <w:lang w:val="en-IE"/>
        </w:rPr>
        <w:t>imposed in addition to</w:t>
      </w:r>
      <w:r w:rsidRPr="003823C6">
        <w:rPr>
          <w:lang w:val="en-IE"/>
        </w:rPr>
        <w:t xml:space="preserve"> imprisonment;</w:t>
      </w:r>
      <w:r>
        <w:rPr>
          <w:lang w:val="en-IE"/>
        </w:rPr>
        <w:t xml:space="preserve"> the introduction of </w:t>
      </w:r>
      <w:r w:rsidRPr="003823C6">
        <w:rPr>
          <w:lang w:val="en-IE"/>
        </w:rPr>
        <w:t>a judicial mitigating circumstance for the legal persons adopting and implementing effective corporate policies in order to</w:t>
      </w:r>
      <w:r>
        <w:rPr>
          <w:lang w:val="en-IE"/>
        </w:rPr>
        <w:t xml:space="preserve"> </w:t>
      </w:r>
      <w:r w:rsidRPr="003823C6">
        <w:rPr>
          <w:lang w:val="en-IE"/>
        </w:rPr>
        <w:t>prevent</w:t>
      </w:r>
      <w:r>
        <w:rPr>
          <w:lang w:val="en-IE"/>
        </w:rPr>
        <w:t xml:space="preserve"> </w:t>
      </w:r>
      <w:r w:rsidRPr="003823C6">
        <w:rPr>
          <w:lang w:val="en-IE"/>
        </w:rPr>
        <w:t>corruption acts</w:t>
      </w:r>
      <w:r>
        <w:rPr>
          <w:lang w:val="en-IE"/>
        </w:rPr>
        <w:t xml:space="preserve">, and assigning jurisdiction to </w:t>
      </w:r>
      <w:r w:rsidRPr="003823C6">
        <w:rPr>
          <w:lang w:val="en-IE"/>
        </w:rPr>
        <w:t>the</w:t>
      </w:r>
      <w:r>
        <w:rPr>
          <w:lang w:val="en-IE"/>
        </w:rPr>
        <w:t xml:space="preserve"> </w:t>
      </w:r>
      <w:r w:rsidRPr="003823C6">
        <w:rPr>
          <w:lang w:val="en-IE"/>
        </w:rPr>
        <w:t>DNA for conducting the criminal investigation also in the case of certain related offences (money laundering, forgery of documents, tax evasion), when they are committed in connection with the offence of foreign bribery</w:t>
      </w:r>
      <w:r>
        <w:rPr>
          <w:lang w:val="en-IE"/>
        </w:rPr>
        <w:t xml:space="preserve">. </w:t>
      </w:r>
      <w:r w:rsidRPr="003823C6">
        <w:rPr>
          <w:lang w:val="en-IE"/>
        </w:rPr>
        <w:t>D</w:t>
      </w:r>
      <w:r>
        <w:rPr>
          <w:lang w:val="en-IE"/>
        </w:rPr>
        <w:t>NA (2026), written input, p. 73.</w:t>
      </w:r>
    </w:p>
  </w:footnote>
  <w:footnote w:id="71">
    <w:p w14:paraId="46AD0371" w14:textId="7B77D00F" w:rsidR="00290FF1" w:rsidRPr="001F4628" w:rsidRDefault="00290FF1">
      <w:pPr>
        <w:pStyle w:val="FootnoteText"/>
        <w:rPr>
          <w:lang w:val="en-IE"/>
        </w:rPr>
      </w:pPr>
      <w:r>
        <w:rPr>
          <w:rStyle w:val="FootnoteReference"/>
        </w:rPr>
        <w:footnoteRef/>
      </w:r>
      <w:r w:rsidRPr="001F4628">
        <w:rPr>
          <w:rStyle w:val="FootnoteReference"/>
        </w:rPr>
        <w:tab/>
      </w:r>
      <w:r w:rsidR="00B4279C">
        <w:t xml:space="preserve">Romanian </w:t>
      </w:r>
      <w:r w:rsidR="00B4279C" w:rsidRPr="007064DA">
        <w:t xml:space="preserve">Government </w:t>
      </w:r>
      <w:r w:rsidR="000C1F87" w:rsidRPr="007064DA">
        <w:t>(2026b</w:t>
      </w:r>
      <w:r w:rsidR="002E694E" w:rsidRPr="007064DA">
        <w:t>)</w:t>
      </w:r>
      <w:r w:rsidR="00E47D98" w:rsidRPr="007F1B7F">
        <w:t>.</w:t>
      </w:r>
      <w:r w:rsidR="00663676" w:rsidRPr="007064DA">
        <w:t xml:space="preserve"> </w:t>
      </w:r>
      <w:r w:rsidR="000E131B" w:rsidRPr="007064DA">
        <w:rPr>
          <w:szCs w:val="22"/>
          <w:lang w:val="en-US" w:eastAsia="fr-FR"/>
        </w:rPr>
        <w:t>The reforms</w:t>
      </w:r>
      <w:r w:rsidR="000E131B" w:rsidRPr="00C25346">
        <w:rPr>
          <w:szCs w:val="22"/>
          <w:lang w:val="en-US" w:eastAsia="fr-FR"/>
        </w:rPr>
        <w:t xml:space="preserve"> resulted in the issuance of Formal Opinion no. 17 in the OECD accession process</w:t>
      </w:r>
      <w:r w:rsidR="00920A65">
        <w:rPr>
          <w:szCs w:val="22"/>
          <w:lang w:val="en-US" w:eastAsia="fr-FR"/>
        </w:rPr>
        <w:t>.</w:t>
      </w:r>
      <w:r w:rsidR="003A17A3">
        <w:rPr>
          <w:szCs w:val="22"/>
          <w:lang w:val="en-US" w:eastAsia="fr-FR"/>
        </w:rPr>
        <w:t xml:space="preserve"> Such an opinio</w:t>
      </w:r>
      <w:r w:rsidR="00C0516E">
        <w:rPr>
          <w:szCs w:val="22"/>
          <w:lang w:val="en-US" w:eastAsia="fr-FR"/>
        </w:rPr>
        <w:t>n refers to the evaluation adopted by the OECD</w:t>
      </w:r>
      <w:r w:rsidR="00B74AC2">
        <w:rPr>
          <w:szCs w:val="22"/>
          <w:lang w:val="en-US" w:eastAsia="fr-FR"/>
        </w:rPr>
        <w:t>, during a country’s accession process</w:t>
      </w:r>
      <w:r w:rsidR="00C56390">
        <w:rPr>
          <w:szCs w:val="22"/>
          <w:lang w:val="en-US" w:eastAsia="fr-FR"/>
        </w:rPr>
        <w:t xml:space="preserve"> and determines if a candidate country meets </w:t>
      </w:r>
      <w:r w:rsidR="00736239">
        <w:rPr>
          <w:szCs w:val="22"/>
          <w:lang w:val="en-US" w:eastAsia="fr-FR"/>
        </w:rPr>
        <w:t>the OECD standards</w:t>
      </w:r>
      <w:r w:rsidR="00001844" w:rsidRPr="00001844">
        <w:t xml:space="preserve">. </w:t>
      </w:r>
    </w:p>
  </w:footnote>
  <w:footnote w:id="72">
    <w:p w14:paraId="24A974F2" w14:textId="77777777" w:rsidR="003D13B0" w:rsidRPr="00023B04" w:rsidRDefault="003D13B0" w:rsidP="003D13B0">
      <w:pPr>
        <w:pStyle w:val="FootnoteText"/>
      </w:pPr>
      <w:r>
        <w:rPr>
          <w:rStyle w:val="FootnoteReference"/>
        </w:rPr>
        <w:footnoteRef/>
      </w:r>
      <w:r>
        <w:t xml:space="preserve"> </w:t>
      </w:r>
      <w:r>
        <w:tab/>
        <w:t>In 2025, as regards petty corruption, a total of 1 997 (1 702 in 2024, 1 843 in 2023) cases were settled of which 286 (209 in 2024, 259 in 2023) indictments and plea agreements were issued. There were 125 (164 in 2024, 159 in 2023) final judgements, by which 147 (179 in 2024, 154 in 2023) individuals were convicted, See input from Romania for the 2025 Rule of Law Report, Annex 10.</w:t>
      </w:r>
    </w:p>
  </w:footnote>
  <w:footnote w:id="73">
    <w:p w14:paraId="13F8310C" w14:textId="77777777" w:rsidR="003D13B0" w:rsidRPr="00056526" w:rsidRDefault="003D13B0" w:rsidP="003D13B0">
      <w:pPr>
        <w:pStyle w:val="FootnoteText"/>
      </w:pPr>
      <w:r>
        <w:rPr>
          <w:rStyle w:val="FootnoteReference"/>
        </w:rPr>
        <w:footnoteRef/>
      </w:r>
      <w:r>
        <w:t xml:space="preserve"> </w:t>
      </w:r>
      <w:r>
        <w:tab/>
        <w:t>In 2025, in cases referred</w:t>
      </w:r>
      <w:r w:rsidRPr="00096F13">
        <w:t xml:space="preserve"> to by the</w:t>
      </w:r>
      <w:r>
        <w:t xml:space="preserve"> </w:t>
      </w:r>
      <w:r w:rsidRPr="00096F13">
        <w:t>National</w:t>
      </w:r>
      <w:r>
        <w:t xml:space="preserve"> </w:t>
      </w:r>
      <w:r w:rsidRPr="00096F13">
        <w:t>Anticorruption</w:t>
      </w:r>
      <w:r>
        <w:t xml:space="preserve"> </w:t>
      </w:r>
      <w:r w:rsidRPr="00096F13">
        <w:t>Directorate</w:t>
      </w:r>
      <w:r>
        <w:t xml:space="preserve">, the courts </w:t>
      </w:r>
      <w:r w:rsidRPr="00096F13">
        <w:t>handed down</w:t>
      </w:r>
      <w:r>
        <w:t xml:space="preserve"> 289 final convictions (391 in 2024) and 34 final acquittals (147 in 2024), see DNA (2026) written input, p. 74.</w:t>
      </w:r>
    </w:p>
  </w:footnote>
  <w:footnote w:id="74">
    <w:p w14:paraId="337E57A0" w14:textId="11C3CA3B" w:rsidR="003D13B0" w:rsidRPr="00F2129E" w:rsidRDefault="003D13B0" w:rsidP="003D13B0">
      <w:pPr>
        <w:pStyle w:val="FootnoteText"/>
      </w:pPr>
      <w:r>
        <w:rPr>
          <w:rStyle w:val="FootnoteReference"/>
        </w:rPr>
        <w:footnoteRef/>
      </w:r>
      <w:r>
        <w:t xml:space="preserve"> </w:t>
      </w:r>
      <w:r>
        <w:tab/>
        <w:t xml:space="preserve">Ibidem, p. 74. The number of pending cases was </w:t>
      </w:r>
      <w:r w:rsidRPr="00F2129E">
        <w:t>5</w:t>
      </w:r>
      <w:r>
        <w:t xml:space="preserve"> </w:t>
      </w:r>
      <w:r w:rsidRPr="00F2129E">
        <w:t>556</w:t>
      </w:r>
      <w:r>
        <w:t xml:space="preserve"> (compared to 5 443 in 2024) with </w:t>
      </w:r>
      <w:r w:rsidRPr="00F2129E">
        <w:t>2</w:t>
      </w:r>
      <w:r>
        <w:t xml:space="preserve"> </w:t>
      </w:r>
      <w:r w:rsidRPr="00F2129E">
        <w:t>599</w:t>
      </w:r>
      <w:r>
        <w:t xml:space="preserve"> new </w:t>
      </w:r>
      <w:r w:rsidRPr="00F2129E">
        <w:t>criminal cases registered in 2025</w:t>
      </w:r>
      <w:r>
        <w:t xml:space="preserve"> (similar to 2023 and 2024). In 2025, a total of 792 defendants were brought to trial (683 in 2024, 651 in 2023). Of those 539 were prosecuted by indictment (445 in 2024, 481 in 2023) and 253 by plea agreement (238 in 2024).</w:t>
      </w:r>
    </w:p>
  </w:footnote>
  <w:footnote w:id="75">
    <w:p w14:paraId="10F46CCB" w14:textId="1E96944B" w:rsidR="003D13B0" w:rsidRPr="001D4B76" w:rsidRDefault="003D13B0" w:rsidP="003D13B0">
      <w:pPr>
        <w:pStyle w:val="FootnoteText"/>
      </w:pPr>
      <w:r>
        <w:rPr>
          <w:rStyle w:val="FootnoteReference"/>
        </w:rPr>
        <w:footnoteRef/>
      </w:r>
      <w:r>
        <w:t xml:space="preserve"> </w:t>
      </w:r>
      <w:r>
        <w:tab/>
        <w:t>Ibidem, p. 32. Two competitions were organised in 2025 to fill executive positions.</w:t>
      </w:r>
    </w:p>
  </w:footnote>
  <w:footnote w:id="76">
    <w:p w14:paraId="0BFE6F28" w14:textId="6E4A6350" w:rsidR="003D13B0" w:rsidRPr="000336E5" w:rsidRDefault="003D13B0" w:rsidP="003D13B0">
      <w:pPr>
        <w:pStyle w:val="FootnoteText"/>
      </w:pPr>
      <w:r>
        <w:rPr>
          <w:rStyle w:val="FootnoteReference"/>
        </w:rPr>
        <w:footnoteRef/>
      </w:r>
      <w:r>
        <w:t xml:space="preserve"> </w:t>
      </w:r>
      <w:r>
        <w:tab/>
        <w:t>Romanian Government (2026</w:t>
      </w:r>
      <w:r w:rsidR="008A3478">
        <w:t>a</w:t>
      </w:r>
      <w:r>
        <w:t xml:space="preserve">), written input, DNA, Annex 3, funded notably </w:t>
      </w:r>
      <w:r w:rsidRPr="000336E5">
        <w:t>under the European Union Anti-Fraud Programme (EUAF)</w:t>
      </w:r>
      <w:r>
        <w:t xml:space="preserve">, for example </w:t>
      </w:r>
      <w:r w:rsidRPr="000336E5">
        <w:t>2025-RO-FORENSIQ</w:t>
      </w:r>
      <w:r>
        <w:t>.</w:t>
      </w:r>
    </w:p>
  </w:footnote>
  <w:footnote w:id="77">
    <w:p w14:paraId="3AFB08FB" w14:textId="55B868BA" w:rsidR="003D13B0" w:rsidRPr="00EB0B8A" w:rsidRDefault="003D13B0" w:rsidP="003D13B0">
      <w:pPr>
        <w:pStyle w:val="FootnoteText"/>
      </w:pPr>
      <w:r>
        <w:rPr>
          <w:rStyle w:val="FootnoteReference"/>
        </w:rPr>
        <w:footnoteRef/>
      </w:r>
      <w:r>
        <w:t xml:space="preserve"> </w:t>
      </w:r>
      <w:r>
        <w:tab/>
        <w:t>Country visit Romania, DNA.</w:t>
      </w:r>
    </w:p>
  </w:footnote>
  <w:footnote w:id="78">
    <w:p w14:paraId="4B94488B" w14:textId="77777777" w:rsidR="003D13B0" w:rsidRPr="003823C6" w:rsidRDefault="003D13B0" w:rsidP="003D13B0">
      <w:pPr>
        <w:pStyle w:val="FootnoteText"/>
        <w:rPr>
          <w:lang w:val="en-IE"/>
        </w:rPr>
      </w:pPr>
      <w:r>
        <w:rPr>
          <w:rStyle w:val="FootnoteReference"/>
        </w:rPr>
        <w:footnoteRef/>
      </w:r>
      <w:r>
        <w:t xml:space="preserve"> </w:t>
      </w:r>
      <w:r>
        <w:tab/>
      </w:r>
      <w:r w:rsidRPr="003823C6">
        <w:rPr>
          <w:lang w:val="en-IE"/>
        </w:rPr>
        <w:t>EPPO (2026), Annual Report 2025, p</w:t>
      </w:r>
      <w:r w:rsidRPr="003B6482">
        <w:rPr>
          <w:lang w:val="en-IE"/>
        </w:rPr>
        <w:t>. 49</w:t>
      </w:r>
      <w:r>
        <w:rPr>
          <w:lang w:val="en-IE"/>
        </w:rPr>
        <w:t>.</w:t>
      </w:r>
    </w:p>
  </w:footnote>
  <w:footnote w:id="79">
    <w:p w14:paraId="12AFE1A7" w14:textId="77777777" w:rsidR="003D13B0" w:rsidRPr="00102C9A" w:rsidRDefault="003D13B0" w:rsidP="003D13B0">
      <w:pPr>
        <w:pStyle w:val="FootnoteText"/>
        <w:rPr>
          <w:lang w:val="en-IE"/>
        </w:rPr>
      </w:pPr>
      <w:r>
        <w:rPr>
          <w:rStyle w:val="FootnoteReference"/>
        </w:rPr>
        <w:footnoteRef/>
      </w:r>
      <w:r>
        <w:t xml:space="preserve"> </w:t>
      </w:r>
      <w:r w:rsidRPr="003355BA">
        <w:rPr>
          <w:lang w:val="en-IE"/>
        </w:rPr>
        <w:tab/>
      </w:r>
      <w:r>
        <w:rPr>
          <w:lang w:val="en-IE"/>
        </w:rPr>
        <w:t>Country visit Romania, CSOs and media reporting, notably on the SCM who regrets the closure of corruption cases due to the ruling of the HCCJ (see sources).</w:t>
      </w:r>
    </w:p>
  </w:footnote>
  <w:footnote w:id="80">
    <w:p w14:paraId="00707F64" w14:textId="77777777" w:rsidR="003D13B0" w:rsidRPr="000E3D8B" w:rsidRDefault="003D13B0" w:rsidP="003D13B0">
      <w:pPr>
        <w:pStyle w:val="FootnoteText"/>
        <w:rPr>
          <w:lang w:val="en-IE"/>
        </w:rPr>
      </w:pPr>
      <w:r>
        <w:rPr>
          <w:rStyle w:val="FootnoteReference"/>
        </w:rPr>
        <w:footnoteRef/>
      </w:r>
      <w:r>
        <w:t xml:space="preserve"> </w:t>
      </w:r>
      <w:r w:rsidRPr="000E3D8B">
        <w:rPr>
          <w:lang w:val="en-IE"/>
        </w:rPr>
        <w:tab/>
        <w:t>Country visit Romania,</w:t>
      </w:r>
      <w:r>
        <w:rPr>
          <w:lang w:val="en-IE"/>
        </w:rPr>
        <w:t xml:space="preserve"> </w:t>
      </w:r>
      <w:r w:rsidRPr="00B00A46">
        <w:rPr>
          <w:lang w:val="en-IE"/>
        </w:rPr>
        <w:t>UNJR, AMR, APR</w:t>
      </w:r>
      <w:r>
        <w:rPr>
          <w:lang w:val="en-IE"/>
        </w:rPr>
        <w:t>.</w:t>
      </w:r>
    </w:p>
  </w:footnote>
  <w:footnote w:id="81">
    <w:p w14:paraId="76D3C9E2" w14:textId="77777777" w:rsidR="003D13B0" w:rsidRPr="00590ED9" w:rsidRDefault="003D13B0" w:rsidP="003D13B0">
      <w:pPr>
        <w:pStyle w:val="FootnoteText"/>
      </w:pPr>
      <w:r>
        <w:rPr>
          <w:rStyle w:val="FootnoteReference"/>
        </w:rPr>
        <w:footnoteRef/>
      </w:r>
      <w:r>
        <w:t xml:space="preserve"> </w:t>
      </w:r>
      <w:r>
        <w:tab/>
        <w:t xml:space="preserve">Country visit Romanian, Romanian Judges’ Forum Association, </w:t>
      </w:r>
      <w:r w:rsidRPr="00A36467">
        <w:t>Movement for the Defence of Prosecutors' Status Association</w:t>
      </w:r>
      <w:r>
        <w:t xml:space="preserve">, Initiative for Justice Association. A new legislative proposal initiated by Save Romania Union (USR) parliamentarians </w:t>
      </w:r>
      <w:r w:rsidRPr="00102C9A">
        <w:t>provides for the increase of the special limitation period for criminal liability</w:t>
      </w:r>
      <w:r>
        <w:t xml:space="preserve">. </w:t>
      </w:r>
      <w:r w:rsidRPr="00102C9A">
        <w:t>The measure is intended to give authorities more time to complete investigations and bring perpetrators to justice, especially in complex cases.</w:t>
      </w:r>
    </w:p>
  </w:footnote>
  <w:footnote w:id="82">
    <w:p w14:paraId="35F4E9E6" w14:textId="77777777" w:rsidR="003D13B0" w:rsidRPr="00EB0B8A" w:rsidRDefault="003D13B0" w:rsidP="003D13B0">
      <w:pPr>
        <w:pStyle w:val="FootnoteText"/>
        <w:rPr>
          <w:lang w:val="en-IE"/>
        </w:rPr>
      </w:pPr>
      <w:r>
        <w:rPr>
          <w:rStyle w:val="FootnoteReference"/>
        </w:rPr>
        <w:footnoteRef/>
      </w:r>
      <w:r>
        <w:rPr>
          <w:lang w:val="en-IE"/>
        </w:rPr>
        <w:t xml:space="preserve"> </w:t>
      </w:r>
      <w:r>
        <w:rPr>
          <w:lang w:val="en-IE"/>
        </w:rPr>
        <w:tab/>
      </w:r>
      <w:r w:rsidRPr="00EB0B8A">
        <w:rPr>
          <w:lang w:val="en-IE"/>
        </w:rPr>
        <w:t>2025 Rule of Law R</w:t>
      </w:r>
      <w:r>
        <w:rPr>
          <w:lang w:val="en-IE"/>
        </w:rPr>
        <w:t>eport, Romania, p.7-8.</w:t>
      </w:r>
    </w:p>
  </w:footnote>
  <w:footnote w:id="83">
    <w:p w14:paraId="0FBDF93F" w14:textId="443CDC21" w:rsidR="003D13B0" w:rsidRPr="003A58F1" w:rsidRDefault="003D13B0" w:rsidP="003D13B0">
      <w:pPr>
        <w:pStyle w:val="FootnoteText"/>
        <w:rPr>
          <w:i/>
          <w:iCs/>
          <w:lang w:val="en-IE"/>
        </w:rPr>
      </w:pPr>
      <w:r>
        <w:rPr>
          <w:rStyle w:val="FootnoteReference"/>
        </w:rPr>
        <w:footnoteRef/>
      </w:r>
      <w:r>
        <w:t xml:space="preserve"> </w:t>
      </w:r>
      <w:r w:rsidRPr="003A58F1">
        <w:rPr>
          <w:lang w:val="en-IE"/>
        </w:rPr>
        <w:tab/>
        <w:t>Judgement of the CJEU, case C</w:t>
      </w:r>
      <w:r>
        <w:rPr>
          <w:lang w:val="en-IE"/>
        </w:rPr>
        <w:t xml:space="preserve">-107/23, </w:t>
      </w:r>
      <w:r w:rsidRPr="003A58F1">
        <w:rPr>
          <w:i/>
          <w:iCs/>
          <w:lang w:val="en-IE"/>
        </w:rPr>
        <w:t>Lin</w:t>
      </w:r>
      <w:r>
        <w:rPr>
          <w:i/>
          <w:iCs/>
          <w:lang w:val="en-IE"/>
        </w:rPr>
        <w:t xml:space="preserve">. </w:t>
      </w:r>
      <w:r>
        <w:rPr>
          <w:lang w:val="en-IE"/>
        </w:rPr>
        <w:t xml:space="preserve">2025 </w:t>
      </w:r>
      <w:r w:rsidRPr="00EB0B8A">
        <w:rPr>
          <w:lang w:val="en-IE"/>
        </w:rPr>
        <w:t>Rule of Law R</w:t>
      </w:r>
      <w:r>
        <w:rPr>
          <w:lang w:val="en-IE"/>
        </w:rPr>
        <w:t>eport, Country Chapter on the rule of law situation in Romania, p.7</w:t>
      </w:r>
      <w:r w:rsidRPr="00F8152F">
        <w:rPr>
          <w:lang w:val="en-IE"/>
        </w:rPr>
        <w:t>-8</w:t>
      </w:r>
      <w:r w:rsidR="00F8152F">
        <w:rPr>
          <w:lang w:val="en-IE"/>
        </w:rPr>
        <w:t>.</w:t>
      </w:r>
    </w:p>
  </w:footnote>
  <w:footnote w:id="84">
    <w:p w14:paraId="060F8D74" w14:textId="77777777" w:rsidR="003D13B0" w:rsidRPr="00B00A46" w:rsidRDefault="003D13B0" w:rsidP="003D13B0">
      <w:pPr>
        <w:pStyle w:val="FootnoteText"/>
        <w:rPr>
          <w:lang w:val="en-IE"/>
        </w:rPr>
      </w:pPr>
      <w:r>
        <w:rPr>
          <w:rStyle w:val="FootnoteReference"/>
        </w:rPr>
        <w:footnoteRef/>
      </w:r>
      <w:r>
        <w:t xml:space="preserve"> </w:t>
      </w:r>
      <w:r w:rsidRPr="00326E17">
        <w:rPr>
          <w:lang w:val="en-IE"/>
        </w:rPr>
        <w:tab/>
        <w:t>EPPO (2026), written input, p. 59-61.</w:t>
      </w:r>
    </w:p>
  </w:footnote>
  <w:footnote w:id="85">
    <w:p w14:paraId="1DB24B06" w14:textId="10DB5F40" w:rsidR="003D13B0" w:rsidRPr="00CE3EC7" w:rsidRDefault="003D13B0" w:rsidP="003D13B0">
      <w:pPr>
        <w:pStyle w:val="FootnoteText"/>
        <w:rPr>
          <w:lang w:val="en-IE" w:eastAsia="fr-FR"/>
        </w:rPr>
      </w:pPr>
      <w:r>
        <w:rPr>
          <w:rStyle w:val="FootnoteReference"/>
        </w:rPr>
        <w:footnoteRef/>
      </w:r>
      <w:r>
        <w:t xml:space="preserve"> </w:t>
      </w:r>
      <w:r>
        <w:tab/>
      </w:r>
      <w:r>
        <w:rPr>
          <w:lang w:val="en-IE" w:eastAsia="fr-FR"/>
        </w:rPr>
        <w:t xml:space="preserve">Cases C-280/25, </w:t>
      </w:r>
      <w:r w:rsidRPr="00FE557A">
        <w:rPr>
          <w:i/>
          <w:iCs/>
          <w:lang w:val="en-IE" w:eastAsia="fr-FR"/>
        </w:rPr>
        <w:t>Lin II</w:t>
      </w:r>
      <w:r>
        <w:rPr>
          <w:lang w:val="en-IE" w:eastAsia="fr-FR"/>
        </w:rPr>
        <w:t xml:space="preserve"> and C-496/25, </w:t>
      </w:r>
      <w:r w:rsidRPr="000D5382">
        <w:rPr>
          <w:i/>
          <w:iCs/>
          <w:lang w:val="en-IE" w:eastAsia="fr-FR"/>
        </w:rPr>
        <w:t>Lin III</w:t>
      </w:r>
      <w:r w:rsidR="006A3C32" w:rsidRPr="000D5382">
        <w:rPr>
          <w:lang w:val="en-IE" w:eastAsia="fr-FR"/>
        </w:rPr>
        <w:t>.</w:t>
      </w:r>
      <w:r w:rsidRPr="000D5382">
        <w:rPr>
          <w:lang w:val="en-IE" w:eastAsia="fr-FR"/>
        </w:rPr>
        <w:t xml:space="preserve"> </w:t>
      </w:r>
      <w:r w:rsidR="006A3C32" w:rsidRPr="00AA3F8E">
        <w:rPr>
          <w:lang w:val="en-IE" w:eastAsia="fr-FR"/>
        </w:rPr>
        <w:t>T</w:t>
      </w:r>
      <w:r w:rsidR="00C67C57" w:rsidRPr="00AA3F8E">
        <w:rPr>
          <w:lang w:val="en-IE" w:eastAsia="fr-FR"/>
        </w:rPr>
        <w:t xml:space="preserve">he latter </w:t>
      </w:r>
      <w:r w:rsidR="00632216">
        <w:rPr>
          <w:lang w:val="en-IE" w:eastAsia="fr-FR"/>
        </w:rPr>
        <w:t xml:space="preserve">case </w:t>
      </w:r>
      <w:r w:rsidR="00C67C57" w:rsidRPr="00D74172">
        <w:rPr>
          <w:lang w:val="en-IE" w:eastAsia="fr-FR"/>
        </w:rPr>
        <w:t xml:space="preserve">is still </w:t>
      </w:r>
      <w:r w:rsidRPr="00D74172">
        <w:rPr>
          <w:lang w:val="en-IE" w:eastAsia="fr-FR"/>
        </w:rPr>
        <w:t>pending</w:t>
      </w:r>
      <w:r w:rsidRPr="000D5382">
        <w:rPr>
          <w:lang w:val="en-IE" w:eastAsia="fr-FR"/>
        </w:rPr>
        <w:t>.</w:t>
      </w:r>
    </w:p>
  </w:footnote>
  <w:footnote w:id="86">
    <w:p w14:paraId="5BF4DB47" w14:textId="77777777" w:rsidR="003D13B0" w:rsidRPr="00C06527" w:rsidRDefault="003D13B0" w:rsidP="003D13B0">
      <w:pPr>
        <w:pStyle w:val="FootnoteText"/>
        <w:rPr>
          <w:lang w:val="en-IE"/>
        </w:rPr>
      </w:pPr>
      <w:r>
        <w:rPr>
          <w:rStyle w:val="FootnoteReference"/>
        </w:rPr>
        <w:footnoteRef/>
      </w:r>
      <w:r>
        <w:t xml:space="preserve"> </w:t>
      </w:r>
      <w:r w:rsidRPr="00C06527">
        <w:rPr>
          <w:lang w:val="en-IE"/>
        </w:rPr>
        <w:tab/>
      </w:r>
      <w:r>
        <w:rPr>
          <w:lang w:val="en-IE"/>
        </w:rPr>
        <w:t>In the 2025 Rule of Law Report, the Commission recommended to Romania to: ‘take measures to ensure efficient investigation and prosecution of criminal offences in the judiciary, including as regards corruption offences’. Some progress was previously assessed on this recommendation in 2023, 2024 and 2025.</w:t>
      </w:r>
    </w:p>
  </w:footnote>
  <w:footnote w:id="87">
    <w:p w14:paraId="5B8D122D" w14:textId="77777777" w:rsidR="003D13B0" w:rsidRPr="00244B1D" w:rsidRDefault="003D13B0" w:rsidP="003D13B0">
      <w:pPr>
        <w:pStyle w:val="FootnoteText"/>
        <w:rPr>
          <w:lang w:val="en-IE"/>
        </w:rPr>
      </w:pPr>
      <w:r>
        <w:rPr>
          <w:rStyle w:val="FootnoteReference"/>
        </w:rPr>
        <w:footnoteRef/>
      </w:r>
      <w:r>
        <w:t xml:space="preserve"> </w:t>
      </w:r>
      <w:r w:rsidRPr="00244B1D">
        <w:rPr>
          <w:lang w:val="en-IE"/>
        </w:rPr>
        <w:tab/>
      </w:r>
      <w:r>
        <w:rPr>
          <w:lang w:val="en-IE"/>
        </w:rPr>
        <w:t xml:space="preserve">For further details on this system specific to offenses committed by magistrates see </w:t>
      </w:r>
      <w:r w:rsidRPr="00244B1D">
        <w:rPr>
          <w:lang w:val="en-IE"/>
        </w:rPr>
        <w:t>202</w:t>
      </w:r>
      <w:r>
        <w:rPr>
          <w:lang w:val="en-IE"/>
        </w:rPr>
        <w:t>3</w:t>
      </w:r>
      <w:r w:rsidRPr="00244B1D">
        <w:rPr>
          <w:lang w:val="en-IE"/>
        </w:rPr>
        <w:t xml:space="preserve"> Rule of Law Report, Romania,</w:t>
      </w:r>
      <w:r>
        <w:rPr>
          <w:lang w:val="en-IE"/>
        </w:rPr>
        <w:t xml:space="preserve"> p. 12.</w:t>
      </w:r>
    </w:p>
  </w:footnote>
  <w:footnote w:id="88">
    <w:p w14:paraId="4DFF2AF4" w14:textId="0527048E" w:rsidR="003D13B0" w:rsidRPr="00921E43" w:rsidRDefault="003D13B0" w:rsidP="003D13B0">
      <w:pPr>
        <w:pStyle w:val="FootnoteText"/>
        <w:rPr>
          <w:lang w:val="en-IE"/>
        </w:rPr>
      </w:pPr>
      <w:r>
        <w:rPr>
          <w:rStyle w:val="FootnoteReference"/>
        </w:rPr>
        <w:footnoteRef/>
      </w:r>
      <w:r>
        <w:t xml:space="preserve"> </w:t>
      </w:r>
      <w:r w:rsidRPr="00921E43">
        <w:rPr>
          <w:lang w:val="en-IE"/>
        </w:rPr>
        <w:tab/>
      </w:r>
      <w:r>
        <w:t>Input from Romania for the 2026 Rule of Law Report, General Prosecutor’s Office, p. 53. There were six indictments in 2024, see 2025 Rule of Law Report, Romania, p. 8</w:t>
      </w:r>
      <w:r w:rsidR="00890B45">
        <w:t>.</w:t>
      </w:r>
    </w:p>
  </w:footnote>
  <w:footnote w:id="89">
    <w:p w14:paraId="6531FF6F" w14:textId="670C4C77" w:rsidR="00925D4A" w:rsidRPr="007643CE" w:rsidRDefault="00925D4A">
      <w:pPr>
        <w:pStyle w:val="FootnoteText"/>
        <w:rPr>
          <w:lang w:val="en-US"/>
        </w:rPr>
      </w:pPr>
      <w:r>
        <w:rPr>
          <w:rStyle w:val="FootnoteReference"/>
        </w:rPr>
        <w:footnoteRef/>
      </w:r>
      <w:r w:rsidR="00F70881">
        <w:t xml:space="preserve"> </w:t>
      </w:r>
      <w:r w:rsidRPr="001F4628">
        <w:rPr>
          <w:rStyle w:val="FootnoteReference"/>
        </w:rPr>
        <w:tab/>
      </w:r>
      <w:r w:rsidR="00A264CE">
        <w:t>Government of Romania (2026b)</w:t>
      </w:r>
      <w:r w:rsidR="001B718B">
        <w:t xml:space="preserve">. </w:t>
      </w:r>
      <w:r w:rsidR="002A5AA6">
        <w:t>T</w:t>
      </w:r>
      <w:r w:rsidR="0074233D" w:rsidRPr="001F4628">
        <w:t>he number of pending case files reached its lowest level since the abolition of the SIIJ, particularly within the Criminal Investigation Section.</w:t>
      </w:r>
      <w:r w:rsidR="00DD2916">
        <w:t xml:space="preserve"> </w:t>
      </w:r>
      <w:r w:rsidR="00DD2916" w:rsidRPr="00DD2916">
        <w:t>In 2025, 1</w:t>
      </w:r>
      <w:r w:rsidR="00F70881">
        <w:t> </w:t>
      </w:r>
      <w:r w:rsidR="00DD2916" w:rsidRPr="00DD2916">
        <w:t>424 cases were resolved out of a total of 3</w:t>
      </w:r>
      <w:r w:rsidR="00F70881">
        <w:t> </w:t>
      </w:r>
      <w:r w:rsidR="00DD2916" w:rsidRPr="00DD2916">
        <w:t xml:space="preserve">188 </w:t>
      </w:r>
      <w:r w:rsidR="00042C93">
        <w:t xml:space="preserve">pending </w:t>
      </w:r>
      <w:r w:rsidR="00DD2916" w:rsidRPr="00DD2916">
        <w:t>cases</w:t>
      </w:r>
      <w:r w:rsidR="00DD2916">
        <w:t>, while in 2024</w:t>
      </w:r>
      <w:r w:rsidR="00AF02B6">
        <w:t xml:space="preserve"> </w:t>
      </w:r>
      <w:r w:rsidR="00AF02B6" w:rsidRPr="00AF02B6">
        <w:t>1</w:t>
      </w:r>
      <w:r w:rsidR="00F70881">
        <w:t> </w:t>
      </w:r>
      <w:r w:rsidR="00AF02B6" w:rsidRPr="00AF02B6">
        <w:t>997 cases were resolved out of a total of 4</w:t>
      </w:r>
      <w:r w:rsidR="00F70881">
        <w:t> </w:t>
      </w:r>
      <w:r w:rsidR="00AF02B6" w:rsidRPr="00AF02B6">
        <w:t xml:space="preserve">566 </w:t>
      </w:r>
      <w:r w:rsidR="00042C93">
        <w:t xml:space="preserve">pending </w:t>
      </w:r>
      <w:r w:rsidR="00AF02B6" w:rsidRPr="00AF02B6">
        <w:t>cases</w:t>
      </w:r>
      <w:r w:rsidR="009D7676">
        <w:t>.</w:t>
      </w:r>
    </w:p>
  </w:footnote>
  <w:footnote w:id="90">
    <w:p w14:paraId="511FADFA" w14:textId="77777777" w:rsidR="003D13B0" w:rsidRPr="00156629" w:rsidRDefault="003D13B0" w:rsidP="003D13B0">
      <w:pPr>
        <w:pStyle w:val="FootnoteText"/>
        <w:rPr>
          <w:lang w:val="en-IE"/>
        </w:rPr>
      </w:pPr>
      <w:r>
        <w:rPr>
          <w:rStyle w:val="FootnoteReference"/>
        </w:rPr>
        <w:footnoteRef/>
      </w:r>
      <w:r>
        <w:t xml:space="preserve"> </w:t>
      </w:r>
      <w:r w:rsidRPr="00243F58">
        <w:rPr>
          <w:lang w:val="en-IE"/>
        </w:rPr>
        <w:tab/>
        <w:t xml:space="preserve">Country visit </w:t>
      </w:r>
      <w:r w:rsidRPr="00156629">
        <w:rPr>
          <w:lang w:val="en-IE"/>
        </w:rPr>
        <w:t>Romania, General Prosecutor’s Office.</w:t>
      </w:r>
    </w:p>
  </w:footnote>
  <w:footnote w:id="91">
    <w:p w14:paraId="476239C5" w14:textId="77777777" w:rsidR="003D13B0" w:rsidRPr="0044304D" w:rsidRDefault="003D13B0" w:rsidP="003D13B0">
      <w:pPr>
        <w:pStyle w:val="FootnoteText"/>
      </w:pPr>
      <w:r w:rsidRPr="0009497B">
        <w:rPr>
          <w:rStyle w:val="FootnoteReference"/>
        </w:rPr>
        <w:footnoteRef/>
      </w:r>
      <w:r w:rsidRPr="0022474A">
        <w:t xml:space="preserve"> </w:t>
      </w:r>
      <w:r>
        <w:tab/>
      </w:r>
      <w:r w:rsidRPr="0022474A">
        <w:t>At the end of 2025, the occupancy rate was 76.28%, while it was 75.65% at the end of 2024. Input from Romania for the 2026 Rule of Law Report, General Prosecutor’s Office, p. 31.</w:t>
      </w:r>
    </w:p>
  </w:footnote>
  <w:footnote w:id="92">
    <w:p w14:paraId="1E4F0E44" w14:textId="77777777" w:rsidR="003D13B0" w:rsidRPr="00243F58" w:rsidRDefault="003D13B0" w:rsidP="003D13B0">
      <w:pPr>
        <w:pStyle w:val="FootnoteText"/>
      </w:pPr>
      <w:r>
        <w:rPr>
          <w:rStyle w:val="FootnoteReference"/>
        </w:rPr>
        <w:footnoteRef/>
      </w:r>
      <w:r>
        <w:t xml:space="preserve"> </w:t>
      </w:r>
      <w:r>
        <w:tab/>
        <w:t>Country visit, Romania, General Prosecutor’s Office: according to the General Prosecutor’s office, the nominations of delegated prosecutors should be done only by the prosecutors’ section of the SCM. On the procedure to recruit delegated prosecutors and the role of the SCM, see 2025 Rule of Law report, p. 8-9.</w:t>
      </w:r>
    </w:p>
  </w:footnote>
  <w:footnote w:id="93">
    <w:p w14:paraId="59E2F60E" w14:textId="22A3A145" w:rsidR="003D13B0" w:rsidRPr="006A6CC5" w:rsidRDefault="003D13B0" w:rsidP="003D13B0">
      <w:pPr>
        <w:pStyle w:val="FootnoteText"/>
        <w:rPr>
          <w:lang w:val="en-IE"/>
        </w:rPr>
      </w:pPr>
      <w:r w:rsidRPr="00156629">
        <w:rPr>
          <w:rStyle w:val="FootnoteReference"/>
        </w:rPr>
        <w:footnoteRef/>
      </w:r>
      <w:r w:rsidRPr="00156629">
        <w:t xml:space="preserve"> </w:t>
      </w:r>
      <w:r w:rsidRPr="00156629">
        <w:tab/>
      </w:r>
      <w:r w:rsidRPr="00156629">
        <w:rPr>
          <w:lang w:val="en-IE"/>
        </w:rPr>
        <w:t>Country visit Romania. The work of this Committee was suspended</w:t>
      </w:r>
      <w:r w:rsidRPr="00D60218">
        <w:rPr>
          <w:lang w:val="en-IE"/>
        </w:rPr>
        <w:t xml:space="preserve"> following a decision of the HCCJ</w:t>
      </w:r>
      <w:r w:rsidRPr="00156629">
        <w:rPr>
          <w:lang w:val="en-IE"/>
        </w:rPr>
        <w:t xml:space="preserve"> – see Pillar </w:t>
      </w:r>
      <w:r w:rsidRPr="002B3CB5">
        <w:rPr>
          <w:lang w:val="en-IE"/>
        </w:rPr>
        <w:t>I.</w:t>
      </w:r>
      <w:r w:rsidR="00455BE1" w:rsidRPr="002B3CB5">
        <w:rPr>
          <w:lang w:val="en-IE"/>
        </w:rPr>
        <w:t xml:space="preserve"> </w:t>
      </w:r>
      <w:r w:rsidR="00A93D47" w:rsidRPr="002B3CB5">
        <w:t>Government of Romania, Chancellery of the Prime Minister, Report on the work of the Committee on the Review and Revision of the Justice Laws.</w:t>
      </w:r>
    </w:p>
  </w:footnote>
  <w:footnote w:id="94">
    <w:p w14:paraId="73066F7E" w14:textId="4261E22F" w:rsidR="003D13B0" w:rsidRPr="00EA14A0" w:rsidRDefault="003D13B0" w:rsidP="003D13B0">
      <w:pPr>
        <w:pStyle w:val="FootnoteText"/>
      </w:pPr>
      <w:r w:rsidRPr="00156629">
        <w:rPr>
          <w:rStyle w:val="FootnoteReference"/>
        </w:rPr>
        <w:footnoteRef/>
      </w:r>
      <w:r w:rsidRPr="00156629">
        <w:t xml:space="preserve"> </w:t>
      </w:r>
      <w:r w:rsidRPr="00156629">
        <w:tab/>
      </w:r>
      <w:r w:rsidRPr="00156629">
        <w:rPr>
          <w:bCs/>
          <w:iCs/>
          <w:lang w:eastAsia="fr-FR"/>
        </w:rPr>
        <w:t>Law no. 189/2025 published</w:t>
      </w:r>
      <w:r w:rsidRPr="000E3D8B">
        <w:rPr>
          <w:bCs/>
          <w:iCs/>
          <w:lang w:eastAsia="fr-FR"/>
        </w:rPr>
        <w:t xml:space="preserve"> in the Official Journal no. 1065 of </w:t>
      </w:r>
      <w:r>
        <w:rPr>
          <w:bCs/>
          <w:iCs/>
          <w:lang w:eastAsia="fr-FR"/>
        </w:rPr>
        <w:t xml:space="preserve">19 </w:t>
      </w:r>
      <w:r w:rsidRPr="000E3D8B">
        <w:rPr>
          <w:bCs/>
          <w:iCs/>
          <w:lang w:eastAsia="fr-FR"/>
        </w:rPr>
        <w:t>November 2025</w:t>
      </w:r>
      <w:r>
        <w:rPr>
          <w:bCs/>
          <w:iCs/>
          <w:lang w:eastAsia="fr-FR"/>
        </w:rPr>
        <w:t>.</w:t>
      </w:r>
      <w:r w:rsidR="00BC5A75">
        <w:rPr>
          <w:bCs/>
          <w:iCs/>
          <w:lang w:eastAsia="fr-FR"/>
        </w:rPr>
        <w:t xml:space="preserve"> </w:t>
      </w:r>
      <w:r w:rsidR="00BC5A75" w:rsidRPr="00BC5A75">
        <w:rPr>
          <w:bCs/>
          <w:iCs/>
          <w:lang w:val="en-US" w:eastAsia="fr-FR"/>
        </w:rPr>
        <w:t>The reform was assessed by the OECD Working Party on Public Integrity and Anti-Corruption and contributed to the subsequent adoption of Formal Opinion no. 22 by the</w:t>
      </w:r>
      <w:r w:rsidR="005467E8">
        <w:rPr>
          <w:bCs/>
          <w:iCs/>
          <w:lang w:val="en-US" w:eastAsia="fr-FR"/>
        </w:rPr>
        <w:t xml:space="preserve"> OECD</w:t>
      </w:r>
      <w:r w:rsidR="00BC5A75" w:rsidRPr="00BC5A75">
        <w:rPr>
          <w:bCs/>
          <w:iCs/>
          <w:lang w:val="en-US" w:eastAsia="fr-FR"/>
        </w:rPr>
        <w:t xml:space="preserve"> Public Governance Committee.</w:t>
      </w:r>
    </w:p>
  </w:footnote>
  <w:footnote w:id="95">
    <w:p w14:paraId="58F03101" w14:textId="77777777" w:rsidR="003D13B0" w:rsidRPr="00EA14A0" w:rsidRDefault="003D13B0" w:rsidP="003D13B0">
      <w:pPr>
        <w:pStyle w:val="FootnoteText"/>
        <w:rPr>
          <w:lang w:val="en-IE"/>
        </w:rPr>
      </w:pPr>
      <w:r>
        <w:rPr>
          <w:rStyle w:val="FootnoteReference"/>
        </w:rPr>
        <w:footnoteRef/>
      </w:r>
      <w:r>
        <w:t xml:space="preserve"> </w:t>
      </w:r>
      <w:r w:rsidRPr="00EA14A0">
        <w:rPr>
          <w:lang w:val="en-IE"/>
        </w:rPr>
        <w:tab/>
      </w:r>
      <w:r>
        <w:t xml:space="preserve">Input from Romania for the 2025 Rule of Law Report, Ministry of Justice and ANI, p. 4. Official falling under the scope are determined based on </w:t>
      </w:r>
      <w:r w:rsidRPr="00B1715C">
        <w:t>the nature of the powers and responsibilities exercised</w:t>
      </w:r>
      <w:r>
        <w:t xml:space="preserve"> and include</w:t>
      </w:r>
      <w:r w:rsidRPr="00EA14A0">
        <w:rPr>
          <w:bCs/>
        </w:rPr>
        <w:t xml:space="preserve"> senior officials, local elected representatives, and personnel involved in procurement, auditing, concessions, regulation, accreditation and authorisation.</w:t>
      </w:r>
    </w:p>
  </w:footnote>
  <w:footnote w:id="96">
    <w:p w14:paraId="1194D380" w14:textId="77777777" w:rsidR="003D13B0" w:rsidRPr="00EE74DE" w:rsidRDefault="003D13B0" w:rsidP="003D13B0">
      <w:pPr>
        <w:pStyle w:val="FootnoteText"/>
        <w:rPr>
          <w:lang w:val="en-IE"/>
        </w:rPr>
      </w:pPr>
      <w:r>
        <w:rPr>
          <w:rStyle w:val="FootnoteReference"/>
        </w:rPr>
        <w:footnoteRef/>
      </w:r>
      <w:r>
        <w:t xml:space="preserve"> </w:t>
      </w:r>
      <w:r>
        <w:tab/>
        <w:t xml:space="preserve">Country visit Romania, ANI. </w:t>
      </w:r>
    </w:p>
  </w:footnote>
  <w:footnote w:id="97">
    <w:p w14:paraId="15828AB4" w14:textId="6992D144" w:rsidR="003D13B0" w:rsidRPr="00EE74DE" w:rsidRDefault="003D13B0" w:rsidP="003D13B0">
      <w:pPr>
        <w:pStyle w:val="FootnoteText"/>
        <w:rPr>
          <w:lang w:val="en-IE"/>
        </w:rPr>
      </w:pPr>
      <w:r>
        <w:rPr>
          <w:rStyle w:val="FootnoteReference"/>
        </w:rPr>
        <w:footnoteRef/>
      </w:r>
      <w:r>
        <w:t xml:space="preserve"> </w:t>
      </w:r>
      <w:r w:rsidRPr="00EE74DE">
        <w:rPr>
          <w:lang w:val="en-IE"/>
        </w:rPr>
        <w:tab/>
      </w:r>
      <w:r w:rsidRPr="00B1009A">
        <w:rPr>
          <w:rFonts w:cs="Arial"/>
          <w:szCs w:val="14"/>
        </w:rPr>
        <w:t>Law no. 49/2025</w:t>
      </w:r>
      <w:r>
        <w:rPr>
          <w:rFonts w:cs="Arial"/>
          <w:szCs w:val="14"/>
        </w:rPr>
        <w:t>.</w:t>
      </w:r>
      <w:r w:rsidR="00AC7A80">
        <w:rPr>
          <w:rFonts w:cs="Arial"/>
          <w:szCs w:val="14"/>
        </w:rPr>
        <w:t xml:space="preserve"> </w:t>
      </w:r>
      <w:r w:rsidR="003832A9">
        <w:rPr>
          <w:rFonts w:cs="Arial"/>
          <w:szCs w:val="14"/>
        </w:rPr>
        <w:t xml:space="preserve">See also earlier </w:t>
      </w:r>
      <w:r w:rsidR="00AC7A80" w:rsidRPr="008B474B">
        <w:rPr>
          <w:bCs/>
        </w:rPr>
        <w:t xml:space="preserve">Law No. 251/2004 on goods received free of charge in the context of protocol activities during the exercise of a mandate or public office establishes obligations for holders of public dignity offices to declare gifts received in connection with official duties. The law provides for the evaluation and inventory of such gifts, rules on their retention or transfer, and annual public disclosure and their destination. The implementing provisions are set out in Government Decision </w:t>
      </w:r>
      <w:r w:rsidR="00AC7A80">
        <w:rPr>
          <w:bCs/>
        </w:rPr>
        <w:t>N</w:t>
      </w:r>
      <w:r w:rsidR="00AC7A80" w:rsidRPr="008B474B">
        <w:rPr>
          <w:bCs/>
        </w:rPr>
        <w:t>o. 1126/2004.</w:t>
      </w:r>
    </w:p>
  </w:footnote>
  <w:footnote w:id="98">
    <w:p w14:paraId="4C0FCD84" w14:textId="77777777" w:rsidR="003D13B0" w:rsidRPr="008D4456" w:rsidRDefault="003D13B0" w:rsidP="003D13B0">
      <w:pPr>
        <w:pStyle w:val="FootnoteText"/>
        <w:rPr>
          <w:lang w:val="en-IE"/>
        </w:rPr>
      </w:pPr>
      <w:r>
        <w:rPr>
          <w:rStyle w:val="FootnoteReference"/>
        </w:rPr>
        <w:footnoteRef/>
      </w:r>
      <w:r>
        <w:t xml:space="preserve"> </w:t>
      </w:r>
      <w:r w:rsidRPr="008D4456">
        <w:rPr>
          <w:lang w:val="en-IE"/>
        </w:rPr>
        <w:tab/>
        <w:t>Co</w:t>
      </w:r>
      <w:r>
        <w:rPr>
          <w:lang w:val="en-IE"/>
        </w:rPr>
        <w:t>untry visit Romania, Ministry of Justice.</w:t>
      </w:r>
    </w:p>
  </w:footnote>
  <w:footnote w:id="99">
    <w:p w14:paraId="154C2EA7" w14:textId="6F022C73" w:rsidR="003D13B0" w:rsidRPr="009E5253" w:rsidRDefault="003D13B0" w:rsidP="003D13B0">
      <w:pPr>
        <w:pStyle w:val="FootnoteText"/>
        <w:rPr>
          <w:lang w:val="en-IE"/>
        </w:rPr>
      </w:pPr>
      <w:r>
        <w:rPr>
          <w:rStyle w:val="FootnoteReference"/>
        </w:rPr>
        <w:footnoteRef/>
      </w:r>
      <w:r w:rsidRPr="009E5253">
        <w:rPr>
          <w:lang w:val="en-IE"/>
        </w:rPr>
        <w:t xml:space="preserve"> </w:t>
      </w:r>
      <w:r w:rsidRPr="009E5253">
        <w:rPr>
          <w:lang w:val="en-IE"/>
        </w:rPr>
        <w:tab/>
        <w:t>2024 Rule of Law Report Rom</w:t>
      </w:r>
      <w:r>
        <w:rPr>
          <w:lang w:val="en-IE"/>
        </w:rPr>
        <w:t>ania, pp 17-18 and 2025 Rule of Law Report Romania, p. 10.</w:t>
      </w:r>
      <w:r w:rsidR="00AF51C8">
        <w:rPr>
          <w:lang w:val="en-IE"/>
        </w:rPr>
        <w:t xml:space="preserve"> </w:t>
      </w:r>
    </w:p>
  </w:footnote>
  <w:footnote w:id="100">
    <w:p w14:paraId="26A66D26" w14:textId="77777777" w:rsidR="003D13B0" w:rsidRPr="00F45F35" w:rsidRDefault="003D13B0" w:rsidP="003D13B0">
      <w:pPr>
        <w:pStyle w:val="FootnoteText"/>
      </w:pPr>
      <w:r>
        <w:rPr>
          <w:rStyle w:val="FootnoteReference"/>
        </w:rPr>
        <w:footnoteRef/>
      </w:r>
      <w:r>
        <w:t xml:space="preserve"> </w:t>
      </w:r>
      <w:r>
        <w:tab/>
        <w:t>The 2025 Rule of Law Report recommended to Romania to “… ensure the effectiveness of the asset declaration system”. This was a new part of the recommendation.</w:t>
      </w:r>
    </w:p>
  </w:footnote>
  <w:footnote w:id="101">
    <w:p w14:paraId="59B61249" w14:textId="4DB52BA3" w:rsidR="003D13B0" w:rsidRPr="003106A2" w:rsidRDefault="003D13B0" w:rsidP="003D13B0">
      <w:pPr>
        <w:pStyle w:val="FootnoteText"/>
        <w:rPr>
          <w:lang w:val="en-IE"/>
        </w:rPr>
      </w:pPr>
      <w:r>
        <w:rPr>
          <w:rStyle w:val="FootnoteReference"/>
        </w:rPr>
        <w:footnoteRef/>
      </w:r>
      <w:r>
        <w:t xml:space="preserve"> </w:t>
      </w:r>
      <w:r>
        <w:tab/>
        <w:t>Romanian Government (2026</w:t>
      </w:r>
      <w:r w:rsidR="00252BE4">
        <w:t>a</w:t>
      </w:r>
      <w:r>
        <w:t>), written input.</w:t>
      </w:r>
    </w:p>
  </w:footnote>
  <w:footnote w:id="102">
    <w:p w14:paraId="38E85F4D" w14:textId="3E9FE2A7" w:rsidR="003D13B0" w:rsidRPr="00797DEF" w:rsidRDefault="003D13B0" w:rsidP="003D13B0">
      <w:pPr>
        <w:pStyle w:val="FootnoteText"/>
        <w:rPr>
          <w:lang w:val="en-IE"/>
        </w:rPr>
      </w:pPr>
      <w:r>
        <w:rPr>
          <w:rStyle w:val="FootnoteReference"/>
        </w:rPr>
        <w:footnoteRef/>
      </w:r>
      <w:r>
        <w:t xml:space="preserve"> </w:t>
      </w:r>
      <w:r>
        <w:tab/>
      </w:r>
      <w:r w:rsidRPr="00244B1D">
        <w:rPr>
          <w:lang w:val="en-IE"/>
        </w:rPr>
        <w:t>202</w:t>
      </w:r>
      <w:r>
        <w:rPr>
          <w:lang w:val="en-IE"/>
        </w:rPr>
        <w:t>5</w:t>
      </w:r>
      <w:r w:rsidRPr="00244B1D">
        <w:rPr>
          <w:lang w:val="en-IE"/>
        </w:rPr>
        <w:t xml:space="preserve"> Rule of Law Report, Romania,</w:t>
      </w:r>
      <w:r>
        <w:rPr>
          <w:lang w:val="en-IE"/>
        </w:rPr>
        <w:t xml:space="preserve"> p. 9. </w:t>
      </w:r>
      <w:r w:rsidRPr="00860DEB">
        <w:rPr>
          <w:lang w:val="en-IE"/>
        </w:rPr>
        <w:t>The Constitutional Court held that the rules requiring that officials declare their spouses’ and children’s assets are unconstitutional on grounds that such declaration of assets, being a declaration under oath, entails the criminal liability of the declarant and can only be made in one’s own name.</w:t>
      </w:r>
    </w:p>
  </w:footnote>
  <w:footnote w:id="103">
    <w:p w14:paraId="459CCC36" w14:textId="73B695DB" w:rsidR="003D13B0" w:rsidRPr="00797DEF" w:rsidRDefault="003D13B0" w:rsidP="003D13B0">
      <w:pPr>
        <w:pStyle w:val="FootnoteText"/>
        <w:rPr>
          <w:lang w:val="en-IE"/>
        </w:rPr>
      </w:pPr>
      <w:r>
        <w:rPr>
          <w:rStyle w:val="FootnoteReference"/>
        </w:rPr>
        <w:footnoteRef/>
      </w:r>
      <w:r>
        <w:t xml:space="preserve"> </w:t>
      </w:r>
      <w:r>
        <w:tab/>
      </w:r>
      <w:r w:rsidRPr="00797DEF">
        <w:rPr>
          <w:lang w:val="en-IE"/>
        </w:rPr>
        <w:t>Country visit Romania, Ministry of J</w:t>
      </w:r>
      <w:r>
        <w:rPr>
          <w:lang w:val="en-IE"/>
        </w:rPr>
        <w:t>ustice and ANI.</w:t>
      </w:r>
    </w:p>
  </w:footnote>
  <w:footnote w:id="104">
    <w:p w14:paraId="2B531926" w14:textId="13F76325" w:rsidR="003D13B0" w:rsidRPr="00F45F35" w:rsidRDefault="003D13B0" w:rsidP="003D13B0">
      <w:pPr>
        <w:pStyle w:val="FootnoteText"/>
        <w:rPr>
          <w:lang w:val="en-IE"/>
        </w:rPr>
      </w:pPr>
      <w:r>
        <w:rPr>
          <w:rStyle w:val="FootnoteReference"/>
        </w:rPr>
        <w:footnoteRef/>
      </w:r>
      <w:r w:rsidR="008257D0">
        <w:t xml:space="preserve">  </w:t>
      </w:r>
      <w:r w:rsidRPr="00F45F35">
        <w:rPr>
          <w:lang w:val="en-IE"/>
        </w:rPr>
        <w:t>The 2025 Rule of Law Report r</w:t>
      </w:r>
      <w:r>
        <w:rPr>
          <w:lang w:val="en-IE"/>
        </w:rPr>
        <w:t>ecommended Romania to “Introduce rules on lobbying for Members of Parliament …’. No progress was previously assessed on this recommendation in 2023, 2024 and 2025.</w:t>
      </w:r>
    </w:p>
  </w:footnote>
  <w:footnote w:id="105">
    <w:p w14:paraId="2DF87F01" w14:textId="77777777" w:rsidR="003D13B0" w:rsidRPr="005A2D5C" w:rsidRDefault="003D13B0" w:rsidP="003D13B0">
      <w:pPr>
        <w:pStyle w:val="FootnoteText"/>
        <w:rPr>
          <w:lang w:val="en-IE"/>
        </w:rPr>
      </w:pPr>
      <w:r>
        <w:rPr>
          <w:rStyle w:val="FootnoteReference"/>
        </w:rPr>
        <w:footnoteRef/>
      </w:r>
      <w:r>
        <w:t xml:space="preserve"> </w:t>
      </w:r>
      <w:r w:rsidRPr="005A2D5C">
        <w:rPr>
          <w:lang w:val="en-IE"/>
        </w:rPr>
        <w:tab/>
      </w:r>
      <w:r w:rsidRPr="005A2D5C">
        <w:rPr>
          <w:bCs/>
        </w:rPr>
        <w:t xml:space="preserve">Law no. 197/2025 amending Law no. 96/2006 on the Status of Deputies and Senators, published in the Official Journal no. 1106 of </w:t>
      </w:r>
      <w:r>
        <w:rPr>
          <w:bCs/>
        </w:rPr>
        <w:t xml:space="preserve">28 </w:t>
      </w:r>
      <w:r w:rsidRPr="005A2D5C">
        <w:rPr>
          <w:bCs/>
        </w:rPr>
        <w:t>November 2025</w:t>
      </w:r>
      <w:r>
        <w:rPr>
          <w:bCs/>
        </w:rPr>
        <w:t>.</w:t>
      </w:r>
    </w:p>
  </w:footnote>
  <w:footnote w:id="106">
    <w:p w14:paraId="312D05AF" w14:textId="2726F2C9" w:rsidR="003D13B0" w:rsidRPr="009C47BD" w:rsidRDefault="003D13B0" w:rsidP="003D13B0">
      <w:pPr>
        <w:pStyle w:val="FootnoteText"/>
        <w:rPr>
          <w:lang w:val="en-IE"/>
        </w:rPr>
      </w:pPr>
      <w:r>
        <w:rPr>
          <w:rStyle w:val="FootnoteReference"/>
        </w:rPr>
        <w:footnoteRef/>
      </w:r>
      <w:r w:rsidRPr="009C47BD">
        <w:rPr>
          <w:lang w:val="en-IE"/>
        </w:rPr>
        <w:t xml:space="preserve"> </w:t>
      </w:r>
      <w:r w:rsidRPr="009C47BD">
        <w:rPr>
          <w:lang w:val="en-IE"/>
        </w:rPr>
        <w:tab/>
      </w:r>
      <w:r>
        <w:t>Romanian Government (2026</w:t>
      </w:r>
      <w:r w:rsidR="00252BE4">
        <w:t>a</w:t>
      </w:r>
      <w:r>
        <w:t>), written input.</w:t>
      </w:r>
    </w:p>
  </w:footnote>
  <w:footnote w:id="107">
    <w:p w14:paraId="273FC685" w14:textId="58B259CD" w:rsidR="003D13B0" w:rsidRPr="00867CAF" w:rsidRDefault="003D13B0" w:rsidP="003D13B0">
      <w:pPr>
        <w:pStyle w:val="FootnoteText"/>
      </w:pPr>
      <w:r>
        <w:rPr>
          <w:rStyle w:val="FootnoteReference"/>
        </w:rPr>
        <w:footnoteRef/>
      </w:r>
      <w:r>
        <w:t xml:space="preserve"> </w:t>
      </w:r>
      <w:r>
        <w:tab/>
        <w:t xml:space="preserve">Written input, </w:t>
      </w:r>
      <w:r w:rsidR="00890B45" w:rsidRPr="003D1DD1">
        <w:t>Centre</w:t>
      </w:r>
      <w:r w:rsidRPr="003D1DD1">
        <w:t xml:space="preserve"> of Public Innovation</w:t>
      </w:r>
      <w:r>
        <w:t>, p. 17.</w:t>
      </w:r>
    </w:p>
  </w:footnote>
  <w:footnote w:id="108">
    <w:p w14:paraId="54AF9BC8" w14:textId="77777777" w:rsidR="003D13B0" w:rsidRPr="00914E69" w:rsidRDefault="003D13B0" w:rsidP="003D13B0">
      <w:pPr>
        <w:pStyle w:val="FootnoteText"/>
        <w:rPr>
          <w:lang w:val="en-IE"/>
        </w:rPr>
      </w:pPr>
      <w:r>
        <w:rPr>
          <w:rStyle w:val="FootnoteReference"/>
        </w:rPr>
        <w:footnoteRef/>
      </w:r>
      <w:r w:rsidRPr="00914E69">
        <w:rPr>
          <w:lang w:val="en-IE"/>
        </w:rPr>
        <w:t xml:space="preserve"> </w:t>
      </w:r>
      <w:r w:rsidRPr="00914E69">
        <w:rPr>
          <w:lang w:val="en-IE"/>
        </w:rPr>
        <w:tab/>
        <w:t>2025 Rule of Law Report</w:t>
      </w:r>
      <w:r>
        <w:rPr>
          <w:lang w:val="en-IE"/>
        </w:rPr>
        <w:t>,</w:t>
      </w:r>
      <w:r w:rsidRPr="00914E69">
        <w:rPr>
          <w:lang w:val="en-IE"/>
        </w:rPr>
        <w:t xml:space="preserve"> R</w:t>
      </w:r>
      <w:r>
        <w:rPr>
          <w:lang w:val="en-IE"/>
        </w:rPr>
        <w:t>omania, p. 11.</w:t>
      </w:r>
    </w:p>
  </w:footnote>
  <w:footnote w:id="109">
    <w:p w14:paraId="6FF81BB9" w14:textId="77777777" w:rsidR="003D13B0" w:rsidRPr="00503E6B" w:rsidRDefault="003D13B0" w:rsidP="003D13B0">
      <w:pPr>
        <w:pStyle w:val="FootnoteText"/>
        <w:rPr>
          <w:lang w:val="en-IE"/>
        </w:rPr>
      </w:pPr>
      <w:r>
        <w:rPr>
          <w:rStyle w:val="FootnoteReference"/>
        </w:rPr>
        <w:footnoteRef/>
      </w:r>
      <w:r w:rsidRPr="00503E6B">
        <w:rPr>
          <w:lang w:val="en-IE"/>
        </w:rPr>
        <w:t xml:space="preserve"> </w:t>
      </w:r>
      <w:r w:rsidRPr="00503E6B">
        <w:rPr>
          <w:lang w:val="en-IE"/>
        </w:rPr>
        <w:tab/>
        <w:t>Country visit Romania,</w:t>
      </w:r>
      <w:r>
        <w:rPr>
          <w:lang w:val="en-IE"/>
        </w:rPr>
        <w:t xml:space="preserve"> Court of Accounts. See also 2025 Rule of Law report, p. 11.</w:t>
      </w:r>
    </w:p>
  </w:footnote>
  <w:footnote w:id="110">
    <w:p w14:paraId="1C4C80C5" w14:textId="5A4BD849" w:rsidR="003D13B0" w:rsidRPr="004B48D8" w:rsidRDefault="003D13B0" w:rsidP="003D13B0">
      <w:pPr>
        <w:pStyle w:val="FootnoteText"/>
      </w:pPr>
      <w:r>
        <w:rPr>
          <w:rStyle w:val="FootnoteReference"/>
        </w:rPr>
        <w:footnoteRef/>
      </w:r>
      <w:r>
        <w:t xml:space="preserve"> </w:t>
      </w:r>
      <w:r>
        <w:tab/>
        <w:t>Expert Forum, Monitoring Report 2024, 8 September 2025. This evaluation should be done annually.</w:t>
      </w:r>
    </w:p>
  </w:footnote>
  <w:footnote w:id="111">
    <w:p w14:paraId="3DF4C315" w14:textId="77777777" w:rsidR="003D13B0" w:rsidRPr="00503E6B" w:rsidRDefault="003D13B0" w:rsidP="003D13B0">
      <w:pPr>
        <w:pStyle w:val="FootnoteText"/>
        <w:rPr>
          <w:lang w:val="en-IE"/>
        </w:rPr>
      </w:pPr>
      <w:r>
        <w:rPr>
          <w:rStyle w:val="FootnoteReference"/>
        </w:rPr>
        <w:footnoteRef/>
      </w:r>
      <w:r w:rsidRPr="00503E6B">
        <w:rPr>
          <w:lang w:val="en-IE"/>
        </w:rPr>
        <w:t xml:space="preserve"> </w:t>
      </w:r>
      <w:r w:rsidRPr="00503E6B">
        <w:rPr>
          <w:lang w:val="en-IE"/>
        </w:rPr>
        <w:tab/>
        <w:t>2024 Rule of Law</w:t>
      </w:r>
      <w:r>
        <w:rPr>
          <w:lang w:val="en-IE"/>
        </w:rPr>
        <w:t xml:space="preserve"> Report Romania, p. 18-19 and 2025 Rule of Law Report Romania, p. 11.</w:t>
      </w:r>
    </w:p>
  </w:footnote>
  <w:footnote w:id="112">
    <w:p w14:paraId="71ECDB56" w14:textId="63CF380C" w:rsidR="003D13B0" w:rsidRPr="00404BC2" w:rsidRDefault="003D13B0" w:rsidP="003D13B0">
      <w:pPr>
        <w:pStyle w:val="FootnoteText"/>
        <w:rPr>
          <w:lang w:val="en-IE"/>
        </w:rPr>
      </w:pPr>
      <w:r>
        <w:rPr>
          <w:rStyle w:val="FootnoteReference"/>
        </w:rPr>
        <w:footnoteRef/>
      </w:r>
      <w:r w:rsidRPr="00404BC2">
        <w:rPr>
          <w:lang w:val="en-IE"/>
        </w:rPr>
        <w:t xml:space="preserve"> </w:t>
      </w:r>
      <w:r w:rsidRPr="00404BC2">
        <w:rPr>
          <w:lang w:val="en-IE"/>
        </w:rPr>
        <w:tab/>
      </w:r>
      <w:r>
        <w:rPr>
          <w:lang w:val="en-IE"/>
        </w:rPr>
        <w:t xml:space="preserve">Country visit Romania, Expert Forum, Civic Radauti Association, Apador-CH, Public Innovation. </w:t>
      </w:r>
    </w:p>
  </w:footnote>
  <w:footnote w:id="113">
    <w:p w14:paraId="26A762DC" w14:textId="39A62242" w:rsidR="003D13B0" w:rsidRPr="00EE74DE" w:rsidRDefault="003D13B0" w:rsidP="003D13B0">
      <w:pPr>
        <w:pStyle w:val="FootnoteText"/>
        <w:rPr>
          <w:lang w:val="en-IE"/>
        </w:rPr>
      </w:pPr>
      <w:r>
        <w:rPr>
          <w:rStyle w:val="FootnoteReference"/>
        </w:rPr>
        <w:footnoteRef/>
      </w:r>
      <w:r>
        <w:t xml:space="preserve"> </w:t>
      </w:r>
      <w:r w:rsidRPr="00EE74DE">
        <w:rPr>
          <w:lang w:val="en-IE"/>
        </w:rPr>
        <w:tab/>
        <w:t>Country visit Romania, A</w:t>
      </w:r>
      <w:r>
        <w:rPr>
          <w:lang w:val="en-IE"/>
        </w:rPr>
        <w:t>NI</w:t>
      </w:r>
      <w:r w:rsidRPr="00EE74DE">
        <w:rPr>
          <w:lang w:val="en-IE"/>
        </w:rPr>
        <w:t>.</w:t>
      </w:r>
    </w:p>
  </w:footnote>
  <w:footnote w:id="114">
    <w:p w14:paraId="7E886C0F" w14:textId="768AFAE9" w:rsidR="003D13B0" w:rsidRPr="0022271F" w:rsidRDefault="003D13B0" w:rsidP="003D13B0">
      <w:pPr>
        <w:pStyle w:val="FootnoteText"/>
        <w:rPr>
          <w:lang w:val="en-IE"/>
        </w:rPr>
      </w:pPr>
      <w:r>
        <w:rPr>
          <w:rStyle w:val="FootnoteReference"/>
        </w:rPr>
        <w:footnoteRef/>
      </w:r>
      <w:r w:rsidR="00B35B1D">
        <w:t xml:space="preserve"> </w:t>
      </w:r>
      <w:r w:rsidR="00881DF8">
        <w:tab/>
      </w:r>
      <w:r>
        <w:t xml:space="preserve">Last year, ANI reported that there were five integrity inspectors. However, the decrease in inspectors is compensated by </w:t>
      </w:r>
      <w:r w:rsidRPr="00775EB8">
        <w:t xml:space="preserve">the positive impact of IT solutions </w:t>
      </w:r>
      <w:r>
        <w:t xml:space="preserve">which </w:t>
      </w:r>
      <w:r w:rsidRPr="00775EB8">
        <w:t>resulted in a</w:t>
      </w:r>
      <w:r>
        <w:t>n</w:t>
      </w:r>
      <w:r w:rsidRPr="00775EB8">
        <w:t xml:space="preserve"> approx</w:t>
      </w:r>
      <w:r>
        <w:t>imately</w:t>
      </w:r>
      <w:r w:rsidRPr="00775EB8">
        <w:t xml:space="preserve"> 100% increase in efficiency in terms of cases resolved per inspector. </w:t>
      </w:r>
      <w:r>
        <w:t>Romania Government, ANI (2026), written input.</w:t>
      </w:r>
    </w:p>
  </w:footnote>
  <w:footnote w:id="115">
    <w:p w14:paraId="52A668FE" w14:textId="353A8DA4" w:rsidR="003D13B0" w:rsidRPr="00F51E80" w:rsidRDefault="003D13B0" w:rsidP="003D13B0">
      <w:pPr>
        <w:pStyle w:val="FootnoteText"/>
        <w:rPr>
          <w:lang w:val="en-IE"/>
        </w:rPr>
      </w:pPr>
      <w:r>
        <w:rPr>
          <w:rStyle w:val="FootnoteReference"/>
        </w:rPr>
        <w:footnoteRef/>
      </w:r>
      <w:r>
        <w:t xml:space="preserve"> </w:t>
      </w:r>
      <w:r w:rsidRPr="00F51E80">
        <w:rPr>
          <w:lang w:val="en-IE"/>
        </w:rPr>
        <w:tab/>
      </w:r>
      <w:r>
        <w:t>Romanian Government (2026</w:t>
      </w:r>
      <w:r w:rsidR="000B5A2A">
        <w:t>a</w:t>
      </w:r>
      <w:r>
        <w:t xml:space="preserve">), written input. </w:t>
      </w:r>
    </w:p>
  </w:footnote>
  <w:footnote w:id="116">
    <w:p w14:paraId="5516C7B1" w14:textId="77777777" w:rsidR="003D13B0" w:rsidRPr="000471A4" w:rsidRDefault="003D13B0" w:rsidP="003D13B0">
      <w:pPr>
        <w:pStyle w:val="FootnoteText"/>
        <w:rPr>
          <w:lang w:val="en-IE"/>
        </w:rPr>
      </w:pPr>
      <w:r w:rsidRPr="000471A4">
        <w:rPr>
          <w:rStyle w:val="FootnoteReference"/>
          <w:lang w:val="en-IE"/>
        </w:rPr>
        <w:footnoteRef/>
      </w:r>
      <w:r w:rsidRPr="000471A4">
        <w:rPr>
          <w:lang w:val="en-IE"/>
        </w:rPr>
        <w:t xml:space="preserve"> </w:t>
      </w:r>
      <w:r w:rsidRPr="000471A4">
        <w:rPr>
          <w:lang w:val="en-IE"/>
        </w:rPr>
        <w:tab/>
        <w:t>Flash Eurobarometer</w:t>
      </w:r>
      <w:r>
        <w:t xml:space="preserve"> </w:t>
      </w:r>
      <w:r>
        <w:rPr>
          <w:lang w:val="en-IE"/>
        </w:rPr>
        <w:t xml:space="preserve">582 </w:t>
      </w:r>
      <w:r w:rsidRPr="000471A4">
        <w:rPr>
          <w:lang w:val="en-IE"/>
        </w:rPr>
        <w:t>on Businesses’ attitudes towards corruption in the EU (202</w:t>
      </w:r>
      <w:r>
        <w:rPr>
          <w:lang w:val="en-IE"/>
        </w:rPr>
        <w:t>6</w:t>
      </w:r>
      <w:r w:rsidRPr="000471A4">
        <w:rPr>
          <w:lang w:val="en-IE"/>
        </w:rPr>
        <w:t xml:space="preserve">). This is </w:t>
      </w:r>
      <w:r w:rsidRPr="00287F6D">
        <w:rPr>
          <w:lang w:val="en-IE"/>
        </w:rPr>
        <w:t xml:space="preserve">8 </w:t>
      </w:r>
      <w:r w:rsidRPr="000471A4">
        <w:rPr>
          <w:lang w:val="en-IE"/>
        </w:rPr>
        <w:t>percentage points</w:t>
      </w:r>
      <w:r w:rsidRPr="00287F6D">
        <w:rPr>
          <w:lang w:val="en-IE"/>
        </w:rPr>
        <w:t xml:space="preserve"> above </w:t>
      </w:r>
      <w:r w:rsidRPr="000471A4">
        <w:rPr>
          <w:lang w:val="en-IE"/>
        </w:rPr>
        <w:t>the EU average.</w:t>
      </w:r>
    </w:p>
  </w:footnote>
  <w:footnote w:id="117">
    <w:p w14:paraId="65F7AEF6" w14:textId="77777777" w:rsidR="003D13B0" w:rsidRPr="00287F6D" w:rsidRDefault="003D13B0" w:rsidP="003D13B0">
      <w:pPr>
        <w:pStyle w:val="FootnoteText"/>
        <w:rPr>
          <w:lang w:val="en-IE"/>
        </w:rPr>
      </w:pPr>
      <w:r w:rsidRPr="00056F1D">
        <w:rPr>
          <w:rStyle w:val="FootnoteReference"/>
        </w:rPr>
        <w:footnoteRef/>
      </w:r>
      <w:r w:rsidRPr="00287F6D">
        <w:rPr>
          <w:lang w:val="en-IE"/>
        </w:rPr>
        <w:t xml:space="preserve"> </w:t>
      </w:r>
      <w:r w:rsidRPr="00287F6D">
        <w:rPr>
          <w:lang w:val="en-IE"/>
        </w:rPr>
        <w:tab/>
        <w:t>Figure 59, 2026 EU Justice Scoreboard.</w:t>
      </w:r>
    </w:p>
  </w:footnote>
  <w:footnote w:id="118">
    <w:p w14:paraId="69FFEF27" w14:textId="77777777" w:rsidR="003D13B0" w:rsidRPr="007F66DA" w:rsidRDefault="003D13B0" w:rsidP="003D13B0">
      <w:pPr>
        <w:pStyle w:val="FootnoteText"/>
        <w:rPr>
          <w:lang w:val="en-IE"/>
        </w:rPr>
      </w:pPr>
      <w:r>
        <w:rPr>
          <w:rStyle w:val="FootnoteReference"/>
        </w:rPr>
        <w:footnoteRef/>
      </w:r>
      <w:r>
        <w:t xml:space="preserve"> </w:t>
      </w:r>
      <w:r w:rsidRPr="007F66DA">
        <w:rPr>
          <w:lang w:val="en-IE"/>
        </w:rPr>
        <w:tab/>
        <w:t>Country visit Romania, Court of A</w:t>
      </w:r>
      <w:r>
        <w:rPr>
          <w:lang w:val="en-IE"/>
        </w:rPr>
        <w:t xml:space="preserve">ccounts. </w:t>
      </w:r>
    </w:p>
  </w:footnote>
  <w:footnote w:id="119">
    <w:p w14:paraId="1A869891" w14:textId="70F0C239" w:rsidR="003D13B0" w:rsidRPr="00AC7DDF" w:rsidRDefault="003D13B0" w:rsidP="003D13B0">
      <w:pPr>
        <w:pStyle w:val="FootnoteText"/>
      </w:pPr>
      <w:r>
        <w:rPr>
          <w:rStyle w:val="FootnoteReference"/>
        </w:rPr>
        <w:footnoteRef/>
      </w:r>
      <w:r>
        <w:t xml:space="preserve"> </w:t>
      </w:r>
      <w:r>
        <w:tab/>
      </w:r>
      <w:r>
        <w:rPr>
          <w:lang w:val="en-IE"/>
        </w:rPr>
        <w:t>Romanian Government (2026</w:t>
      </w:r>
      <w:r w:rsidR="007C4933">
        <w:rPr>
          <w:lang w:val="en-IE"/>
        </w:rPr>
        <w:t>a</w:t>
      </w:r>
      <w:r>
        <w:rPr>
          <w:lang w:val="en-IE"/>
        </w:rPr>
        <w:t>), written input</w:t>
      </w:r>
      <w:r>
        <w:t>, ANAP.</w:t>
      </w:r>
    </w:p>
  </w:footnote>
  <w:footnote w:id="120">
    <w:p w14:paraId="3897ADA5" w14:textId="5FE0E8B2" w:rsidR="003D13B0" w:rsidRPr="00AC7DDF" w:rsidRDefault="003D13B0" w:rsidP="003D13B0">
      <w:pPr>
        <w:pStyle w:val="FootnoteText"/>
        <w:rPr>
          <w:lang w:val="en-IE"/>
        </w:rPr>
      </w:pPr>
      <w:r>
        <w:rPr>
          <w:rStyle w:val="FootnoteReference"/>
        </w:rPr>
        <w:footnoteRef/>
      </w:r>
      <w:r>
        <w:t xml:space="preserve"> </w:t>
      </w:r>
      <w:r>
        <w:tab/>
        <w:t xml:space="preserve">Ibidem p.70, Since </w:t>
      </w:r>
      <w:r w:rsidRPr="00AC7DDF">
        <w:t xml:space="preserve">January 2023, ANI is implementing </w:t>
      </w:r>
      <w:r>
        <w:t>a</w:t>
      </w:r>
      <w:r w:rsidRPr="00AC7DDF">
        <w:t xml:space="preserve"> project entitled </w:t>
      </w:r>
      <w:r>
        <w:t>“</w:t>
      </w:r>
      <w:r w:rsidRPr="00AC7DDF">
        <w:rPr>
          <w:i/>
          <w:iCs/>
        </w:rPr>
        <w:t>The development of the PREVENT IT system in order to increase the interoperability of the electronic systems of public institutions for the ex-ante verification of conflicts of interest in the process of awarding</w:t>
      </w:r>
      <w:r>
        <w:rPr>
          <w:i/>
          <w:iCs/>
        </w:rPr>
        <w:t xml:space="preserve"> </w:t>
      </w:r>
      <w:r w:rsidRPr="00AC7DDF">
        <w:rPr>
          <w:i/>
          <w:iCs/>
        </w:rPr>
        <w:t>public procurement contracts</w:t>
      </w:r>
      <w:r w:rsidRPr="00AC7DDF">
        <w:t>”, financed through Romania’s Recovery and Resilience Plan.</w:t>
      </w:r>
    </w:p>
  </w:footnote>
  <w:footnote w:id="121">
    <w:p w14:paraId="2DED6AE9" w14:textId="524BEA27" w:rsidR="003D13B0" w:rsidRPr="00B67A48" w:rsidRDefault="003D13B0" w:rsidP="003D13B0">
      <w:pPr>
        <w:pStyle w:val="FootnoteText"/>
      </w:pPr>
      <w:r>
        <w:rPr>
          <w:rStyle w:val="FootnoteReference"/>
        </w:rPr>
        <w:footnoteRef/>
      </w:r>
      <w:r>
        <w:t xml:space="preserve"> </w:t>
      </w:r>
      <w:r>
        <w:tab/>
      </w:r>
      <w:r w:rsidRPr="00692860">
        <w:t xml:space="preserve">In </w:t>
      </w:r>
      <w:r>
        <w:t>10</w:t>
      </w:r>
      <w:r w:rsidRPr="00692860">
        <w:t xml:space="preserve"> cases, the leaders of the contracting authorit</w:t>
      </w:r>
      <w:r>
        <w:t>y</w:t>
      </w:r>
      <w:r w:rsidRPr="00692860">
        <w:t xml:space="preserve"> removed the cause </w:t>
      </w:r>
      <w:r>
        <w:t>of the</w:t>
      </w:r>
      <w:r w:rsidRPr="00692860">
        <w:t xml:space="preserve"> potential conflict of</w:t>
      </w:r>
      <w:r>
        <w:t xml:space="preserve"> </w:t>
      </w:r>
      <w:r w:rsidRPr="00692860">
        <w:t>interest. The remaining cases are still pending.</w:t>
      </w:r>
      <w:r>
        <w:t xml:space="preserve"> Ibidem, p. 68.</w:t>
      </w:r>
    </w:p>
  </w:footnote>
  <w:footnote w:id="122">
    <w:p w14:paraId="082B2991" w14:textId="17EA89C2" w:rsidR="003D13B0" w:rsidRPr="00CA0D9A" w:rsidRDefault="003D13B0" w:rsidP="003D13B0">
      <w:pPr>
        <w:pStyle w:val="FootnoteText"/>
        <w:rPr>
          <w:lang w:val="en-IE"/>
        </w:rPr>
      </w:pPr>
      <w:r>
        <w:rPr>
          <w:rStyle w:val="FootnoteReference"/>
        </w:rPr>
        <w:footnoteRef/>
      </w:r>
      <w:r>
        <w:t xml:space="preserve"> </w:t>
      </w:r>
      <w:r>
        <w:rPr>
          <w:lang w:val="en-IE"/>
        </w:rPr>
        <w:tab/>
        <w:t>Romanian Government (2026</w:t>
      </w:r>
      <w:r w:rsidR="007C4933">
        <w:rPr>
          <w:lang w:val="en-IE"/>
        </w:rPr>
        <w:t>a</w:t>
      </w:r>
      <w:r>
        <w:rPr>
          <w:lang w:val="en-IE"/>
        </w:rPr>
        <w:t>), written input, p. 58.</w:t>
      </w:r>
    </w:p>
  </w:footnote>
  <w:footnote w:id="123">
    <w:p w14:paraId="7AE646A3" w14:textId="77777777" w:rsidR="003D13B0" w:rsidRDefault="003D13B0" w:rsidP="003D13B0">
      <w:pPr>
        <w:pStyle w:val="FootnoteText"/>
      </w:pPr>
      <w:r>
        <w:rPr>
          <w:rStyle w:val="FootnoteReference"/>
        </w:rPr>
        <w:footnoteRef/>
      </w:r>
      <w:r>
        <w:t xml:space="preserve"> </w:t>
      </w:r>
      <w:r>
        <w:tab/>
        <w:t>2025 Rule of Law Report, Romania, p.12.</w:t>
      </w:r>
    </w:p>
  </w:footnote>
  <w:footnote w:id="124">
    <w:p w14:paraId="6F30C66F" w14:textId="77777777" w:rsidR="003D13B0" w:rsidRPr="00B20EF3" w:rsidRDefault="003D13B0" w:rsidP="003D13B0">
      <w:pPr>
        <w:pStyle w:val="FootnoteText"/>
      </w:pPr>
      <w:r>
        <w:rPr>
          <w:rStyle w:val="FootnoteReference"/>
        </w:rPr>
        <w:footnoteRef/>
      </w:r>
      <w:r>
        <w:t xml:space="preserve"> </w:t>
      </w:r>
      <w:r>
        <w:tab/>
        <w:t>Country visit Romania, National Audiovisual Council.</w:t>
      </w:r>
    </w:p>
  </w:footnote>
  <w:footnote w:id="125">
    <w:p w14:paraId="3D398DD4" w14:textId="7F7F1129" w:rsidR="003D13B0" w:rsidRPr="009627BD" w:rsidRDefault="003D13B0" w:rsidP="003D13B0">
      <w:pPr>
        <w:pStyle w:val="FootnoteText"/>
        <w:rPr>
          <w:lang w:val="en-IE"/>
        </w:rPr>
      </w:pPr>
      <w:r>
        <w:rPr>
          <w:rStyle w:val="FootnoteReference"/>
        </w:rPr>
        <w:footnoteRef/>
      </w:r>
      <w:r>
        <w:t xml:space="preserve"> </w:t>
      </w:r>
      <w:r>
        <w:tab/>
      </w:r>
      <w:r>
        <w:rPr>
          <w:lang w:val="en-IE"/>
        </w:rPr>
        <w:t xml:space="preserve">Centre for Independent Journalism </w:t>
      </w:r>
      <w:r w:rsidRPr="0022271F">
        <w:rPr>
          <w:i/>
          <w:iCs/>
          <w:lang w:val="en-IE"/>
        </w:rPr>
        <w:t>(Centrul pentru Jurnalism Independent)</w:t>
      </w:r>
      <w:r>
        <w:rPr>
          <w:i/>
          <w:iCs/>
          <w:lang w:val="en-IE"/>
        </w:rPr>
        <w:t xml:space="preserve"> </w:t>
      </w:r>
      <w:r>
        <w:rPr>
          <w:lang w:val="en-IE"/>
        </w:rPr>
        <w:t>(2025), open letter.</w:t>
      </w:r>
    </w:p>
  </w:footnote>
  <w:footnote w:id="126">
    <w:p w14:paraId="6402E172" w14:textId="77777777" w:rsidR="003D13B0" w:rsidRDefault="003D13B0" w:rsidP="003D13B0">
      <w:pPr>
        <w:pStyle w:val="FootnoteText"/>
      </w:pPr>
      <w:r>
        <w:rPr>
          <w:rStyle w:val="FootnoteReference"/>
        </w:rPr>
        <w:footnoteRef/>
      </w:r>
      <w:r>
        <w:t xml:space="preserve"> </w:t>
      </w:r>
      <w:r>
        <w:tab/>
      </w:r>
      <w:r w:rsidRPr="00350D6B">
        <w:t>Reporters Without Borders and Active Watch (2026), written input, p. 15</w:t>
      </w:r>
      <w:r>
        <w:t>.</w:t>
      </w:r>
    </w:p>
  </w:footnote>
  <w:footnote w:id="127">
    <w:p w14:paraId="5D8FADAD" w14:textId="77777777" w:rsidR="003D13B0" w:rsidRPr="00A97D7A" w:rsidRDefault="003D13B0" w:rsidP="003D13B0">
      <w:pPr>
        <w:pStyle w:val="FootnoteText"/>
      </w:pPr>
      <w:r>
        <w:rPr>
          <w:rStyle w:val="FootnoteReference"/>
        </w:rPr>
        <w:footnoteRef/>
      </w:r>
      <w:r>
        <w:t xml:space="preserve"> </w:t>
      </w:r>
      <w:r>
        <w:tab/>
        <w:t xml:space="preserve">Country visit Romania, National Audiovisual Council </w:t>
      </w:r>
      <w:r w:rsidRPr="0022271F">
        <w:rPr>
          <w:i/>
          <w:iCs/>
        </w:rPr>
        <w:t>(Consiliul Național al Audiovizualului).</w:t>
      </w:r>
    </w:p>
  </w:footnote>
  <w:footnote w:id="128">
    <w:p w14:paraId="6C06A8D3" w14:textId="77777777" w:rsidR="003D13B0" w:rsidRPr="00890A2D" w:rsidRDefault="003D13B0" w:rsidP="003D13B0">
      <w:pPr>
        <w:pStyle w:val="FootnoteText"/>
      </w:pPr>
      <w:r>
        <w:rPr>
          <w:rStyle w:val="FootnoteReference"/>
        </w:rPr>
        <w:footnoteRef/>
      </w:r>
      <w:r>
        <w:t xml:space="preserve"> </w:t>
      </w:r>
      <w:r>
        <w:tab/>
        <w:t>Ibidem.</w:t>
      </w:r>
    </w:p>
  </w:footnote>
  <w:footnote w:id="129">
    <w:p w14:paraId="5687A4D5" w14:textId="77777777" w:rsidR="003D13B0" w:rsidRPr="009D215E" w:rsidRDefault="003D13B0" w:rsidP="003D13B0">
      <w:pPr>
        <w:pStyle w:val="FootnoteText"/>
        <w:rPr>
          <w:rFonts w:ascii="Aptos" w:eastAsia="Aptos" w:hAnsi="Aptos" w:cs="Aptos"/>
          <w:sz w:val="22"/>
        </w:rPr>
      </w:pPr>
      <w:r>
        <w:rPr>
          <w:rStyle w:val="FootnoteReference"/>
        </w:rPr>
        <w:footnoteRef/>
      </w:r>
      <w:r>
        <w:t xml:space="preserve"> </w:t>
      </w:r>
      <w:r>
        <w:tab/>
      </w:r>
      <w:r w:rsidRPr="00350D6B">
        <w:t>Reporters Without Borders and Active Watch (2026), written input</w:t>
      </w:r>
      <w:r>
        <w:t xml:space="preserve">, p. </w:t>
      </w:r>
      <w:r w:rsidRPr="005259F7">
        <w:t>15; Country visit Romania, Journalist associations.</w:t>
      </w:r>
    </w:p>
  </w:footnote>
  <w:footnote w:id="130">
    <w:p w14:paraId="2CCB54B9" w14:textId="77777777" w:rsidR="003D13B0" w:rsidRPr="009627BD" w:rsidRDefault="003D13B0" w:rsidP="003D13B0">
      <w:pPr>
        <w:pStyle w:val="FootnoteText"/>
        <w:rPr>
          <w:lang w:val="en-IE"/>
        </w:rPr>
      </w:pPr>
      <w:r>
        <w:rPr>
          <w:rStyle w:val="FootnoteReference"/>
        </w:rPr>
        <w:footnoteRef/>
      </w:r>
      <w:r>
        <w:t xml:space="preserve"> </w:t>
      </w:r>
      <w:r>
        <w:tab/>
        <w:t xml:space="preserve">The new Code was adopted in the context of the transposition of the Audiovisual Media Services Directive </w:t>
      </w:r>
      <w:r w:rsidRPr="00EA4735">
        <w:t>2010/13/EU</w:t>
      </w:r>
      <w:r>
        <w:t xml:space="preserve">. </w:t>
      </w:r>
      <w:r>
        <w:rPr>
          <w:lang w:val="en-IE"/>
        </w:rPr>
        <w:t>National Audiovisual Council (2026), written input, p.79.</w:t>
      </w:r>
    </w:p>
  </w:footnote>
  <w:footnote w:id="131">
    <w:p w14:paraId="0F7E12C7" w14:textId="77777777" w:rsidR="003D13B0" w:rsidRDefault="003D13B0" w:rsidP="003D13B0">
      <w:pPr>
        <w:pStyle w:val="FootnoteText"/>
      </w:pPr>
      <w:r>
        <w:rPr>
          <w:rStyle w:val="FootnoteReference"/>
        </w:rPr>
        <w:footnoteRef/>
      </w:r>
      <w:r>
        <w:t xml:space="preserve"> </w:t>
      </w:r>
      <w:r>
        <w:tab/>
      </w:r>
      <w:r w:rsidRPr="00350D6B">
        <w:t>Reporters Without Borders and Active Watch (2026), written input</w:t>
      </w:r>
      <w:r>
        <w:t>, p.16.</w:t>
      </w:r>
    </w:p>
  </w:footnote>
  <w:footnote w:id="132">
    <w:p w14:paraId="72A32066" w14:textId="77777777" w:rsidR="003D13B0" w:rsidRPr="00C607D0" w:rsidRDefault="003D13B0" w:rsidP="003D13B0">
      <w:pPr>
        <w:pStyle w:val="FootnoteText"/>
      </w:pPr>
      <w:r>
        <w:rPr>
          <w:rStyle w:val="FootnoteReference"/>
        </w:rPr>
        <w:footnoteRef/>
      </w:r>
      <w:r>
        <w:t xml:space="preserve"> </w:t>
      </w:r>
      <w:r>
        <w:tab/>
        <w:t>Alianta a Patra Putere is a newly founded organisation focusing on self-regulation; Country visit Romania, Journalist associations.</w:t>
      </w:r>
    </w:p>
  </w:footnote>
  <w:footnote w:id="133">
    <w:p w14:paraId="771EED86" w14:textId="77777777" w:rsidR="003D13B0" w:rsidRDefault="003D13B0" w:rsidP="003D13B0">
      <w:pPr>
        <w:pStyle w:val="FootnoteText"/>
      </w:pPr>
      <w:r w:rsidRPr="5B6A24DA">
        <w:rPr>
          <w:rStyle w:val="FootnoteReference"/>
        </w:rPr>
        <w:footnoteRef/>
      </w:r>
      <w:r>
        <w:t xml:space="preserve"> </w:t>
      </w:r>
      <w:r>
        <w:tab/>
        <w:t xml:space="preserve">Country visit Romania, National Audiovisual Council </w:t>
      </w:r>
      <w:r w:rsidRPr="0022271F">
        <w:rPr>
          <w:i/>
          <w:iCs/>
        </w:rPr>
        <w:t>(Consiliul Național al Audiovizualului).</w:t>
      </w:r>
    </w:p>
  </w:footnote>
  <w:footnote w:id="134">
    <w:p w14:paraId="788B3346" w14:textId="77777777" w:rsidR="003D13B0" w:rsidRPr="0022271F" w:rsidRDefault="003D13B0" w:rsidP="003D13B0">
      <w:pPr>
        <w:pStyle w:val="FootnoteText"/>
      </w:pPr>
      <w:r>
        <w:rPr>
          <w:rStyle w:val="FootnoteReference"/>
        </w:rPr>
        <w:footnoteRef/>
      </w:r>
      <w:r>
        <w:t xml:space="preserve"> </w:t>
      </w:r>
      <w:r>
        <w:tab/>
        <w:t xml:space="preserve">The </w:t>
      </w:r>
      <w:r w:rsidRPr="005C379A">
        <w:t>2025 Rule of Law Report</w:t>
      </w:r>
      <w:r>
        <w:t xml:space="preserve"> recommended that</w:t>
      </w:r>
      <w:r w:rsidRPr="005C379A">
        <w:t xml:space="preserve"> Romania</w:t>
      </w:r>
      <w:r>
        <w:t xml:space="preserve"> “steps up efforts to strengthen the rules and mechanisms to enhance the independent governance and editorial independence of public service media taking into account European standards on public service media”</w:t>
      </w:r>
      <w:r w:rsidRPr="005C379A">
        <w:t>, p. 13.</w:t>
      </w:r>
      <w:r>
        <w:t xml:space="preserve"> No</w:t>
      </w:r>
      <w:r w:rsidRPr="00DE63E0">
        <w:t xml:space="preserve"> progress was previously assessed on this recommendation in 2025, 2024 and 2023.</w:t>
      </w:r>
    </w:p>
  </w:footnote>
  <w:footnote w:id="135">
    <w:p w14:paraId="0F3AFF8A" w14:textId="77777777" w:rsidR="003D13B0" w:rsidRDefault="003D13B0" w:rsidP="003D13B0">
      <w:pPr>
        <w:pStyle w:val="FootnoteText"/>
      </w:pPr>
      <w:r>
        <w:rPr>
          <w:rStyle w:val="FootnoteReference"/>
        </w:rPr>
        <w:footnoteRef/>
      </w:r>
      <w:r>
        <w:t xml:space="preserve"> </w:t>
      </w:r>
      <w:r>
        <w:tab/>
      </w:r>
      <w:r w:rsidRPr="005C379A">
        <w:t xml:space="preserve">Country visit Romania, </w:t>
      </w:r>
      <w:r>
        <w:t>J</w:t>
      </w:r>
      <w:r w:rsidRPr="005C379A">
        <w:t>ournalist associations</w:t>
      </w:r>
      <w:r>
        <w:t>.</w:t>
      </w:r>
    </w:p>
  </w:footnote>
  <w:footnote w:id="136">
    <w:p w14:paraId="656A1564" w14:textId="77777777" w:rsidR="003D13B0" w:rsidRPr="005F33A4" w:rsidRDefault="003D13B0" w:rsidP="003D13B0">
      <w:pPr>
        <w:pStyle w:val="FootnoteText"/>
        <w:rPr>
          <w:lang w:val="en-IE"/>
        </w:rPr>
      </w:pPr>
      <w:r>
        <w:rPr>
          <w:rStyle w:val="FootnoteReference"/>
        </w:rPr>
        <w:footnoteRef/>
      </w:r>
      <w:r w:rsidRPr="007552F8">
        <w:rPr>
          <w:rStyle w:val="FootnoteReference"/>
        </w:rPr>
        <w:t xml:space="preserve"> </w:t>
      </w:r>
      <w:r>
        <w:tab/>
      </w:r>
      <w:r w:rsidRPr="007552F8">
        <w:t>Active Watch and Centre for Independent Journalism Romania</w:t>
      </w:r>
      <w:r>
        <w:t xml:space="preserve"> </w:t>
      </w:r>
      <w:r w:rsidRPr="005218FB">
        <w:rPr>
          <w:i/>
          <w:iCs/>
          <w:lang w:val="en-IE"/>
        </w:rPr>
        <w:t>(Centrul pentru Jurnalism Independent)</w:t>
      </w:r>
      <w:r>
        <w:t xml:space="preserve"> (2026),</w:t>
      </w:r>
      <w:r w:rsidRPr="007552F8">
        <w:t xml:space="preserve"> </w:t>
      </w:r>
      <w:hyperlink r:id="rId2">
        <w:r w:rsidRPr="007552F8">
          <w:t>open letter</w:t>
        </w:r>
      </w:hyperlink>
      <w:r w:rsidRPr="5B6A24DA">
        <w:rPr>
          <w:rFonts w:eastAsia="Aptos"/>
          <w:lang w:val="en-IE"/>
        </w:rPr>
        <w:t>, citing the incompatibility of the position with media independence and risks of political influence</w:t>
      </w:r>
      <w:r w:rsidRPr="007552F8">
        <w:t>.</w:t>
      </w:r>
    </w:p>
  </w:footnote>
  <w:footnote w:id="137">
    <w:p w14:paraId="31C38960" w14:textId="1B906F8E" w:rsidR="003D13B0" w:rsidRDefault="003D13B0" w:rsidP="003D13B0">
      <w:pPr>
        <w:pStyle w:val="FootnoteText"/>
      </w:pPr>
      <w:r>
        <w:rPr>
          <w:rStyle w:val="FootnoteReference"/>
        </w:rPr>
        <w:footnoteRef/>
      </w:r>
      <w:r>
        <w:t xml:space="preserve"> </w:t>
      </w:r>
      <w:r>
        <w:tab/>
      </w:r>
      <w:r w:rsidRPr="00FE63A1">
        <w:t>Romanian Government</w:t>
      </w:r>
      <w:r>
        <w:t xml:space="preserve"> (2026</w:t>
      </w:r>
      <w:r w:rsidR="007C4933">
        <w:t>a</w:t>
      </w:r>
      <w:r>
        <w:t>)</w:t>
      </w:r>
      <w:r w:rsidRPr="00FE63A1">
        <w:t xml:space="preserve">, </w:t>
      </w:r>
      <w:r>
        <w:rPr>
          <w:lang w:val="en-IE"/>
        </w:rPr>
        <w:t xml:space="preserve">written input, </w:t>
      </w:r>
      <w:r w:rsidRPr="00FE63A1">
        <w:t>p. 80.</w:t>
      </w:r>
    </w:p>
  </w:footnote>
  <w:footnote w:id="138">
    <w:p w14:paraId="174ADBE9" w14:textId="486A3C0C" w:rsidR="00EB21F4" w:rsidRPr="00E74611" w:rsidRDefault="00EB21F4">
      <w:pPr>
        <w:pStyle w:val="FootnoteText"/>
        <w:rPr>
          <w:lang w:val="en-IE"/>
        </w:rPr>
      </w:pPr>
      <w:r>
        <w:rPr>
          <w:rStyle w:val="FootnoteReference"/>
        </w:rPr>
        <w:footnoteRef/>
      </w:r>
      <w:r>
        <w:tab/>
      </w:r>
      <w:r w:rsidR="00F61954">
        <w:t>L</w:t>
      </w:r>
      <w:r w:rsidR="00ED3AB8">
        <w:t xml:space="preserve">ist published by the CNA </w:t>
      </w:r>
      <w:r w:rsidR="004A1F9D">
        <w:t>(2026)</w:t>
      </w:r>
      <w:r w:rsidR="00894820">
        <w:t>.</w:t>
      </w:r>
    </w:p>
  </w:footnote>
  <w:footnote w:id="139">
    <w:p w14:paraId="3579FEDE" w14:textId="77777777" w:rsidR="003D13B0" w:rsidRDefault="003D13B0" w:rsidP="003D13B0">
      <w:pPr>
        <w:pStyle w:val="FootnoteText"/>
      </w:pPr>
      <w:r>
        <w:rPr>
          <w:rStyle w:val="FootnoteReference"/>
        </w:rPr>
        <w:footnoteRef/>
      </w:r>
      <w:r>
        <w:t xml:space="preserve"> </w:t>
      </w:r>
      <w:r>
        <w:tab/>
        <w:t>Reporters Without Borders and Active Watch (2026), written input, p.20.</w:t>
      </w:r>
    </w:p>
  </w:footnote>
  <w:footnote w:id="140">
    <w:p w14:paraId="24336012" w14:textId="77777777" w:rsidR="003D13B0" w:rsidRPr="00383CCD" w:rsidRDefault="003D13B0" w:rsidP="003D13B0">
      <w:pPr>
        <w:pStyle w:val="FootnoteText"/>
        <w:rPr>
          <w:lang w:val="en-IE"/>
        </w:rPr>
      </w:pPr>
      <w:r>
        <w:rPr>
          <w:rStyle w:val="FootnoteReference"/>
        </w:rPr>
        <w:footnoteRef/>
      </w:r>
      <w:r w:rsidRPr="00383CCD">
        <w:rPr>
          <w:lang w:val="en-IE"/>
        </w:rPr>
        <w:t xml:space="preserve"> </w:t>
      </w:r>
      <w:r w:rsidRPr="00383CCD">
        <w:rPr>
          <w:lang w:val="en-IE"/>
        </w:rPr>
        <w:tab/>
        <w:t>IPI-MJRC Report (2025), Media Capture Monitoring Report: Romania, p. 29.</w:t>
      </w:r>
    </w:p>
  </w:footnote>
  <w:footnote w:id="141">
    <w:p w14:paraId="59275D74" w14:textId="15B37E8B" w:rsidR="003E4603" w:rsidRPr="00D21A7A" w:rsidRDefault="003E4603">
      <w:pPr>
        <w:pStyle w:val="FootnoteText"/>
        <w:rPr>
          <w:lang w:val="en-IE"/>
        </w:rPr>
      </w:pPr>
      <w:r>
        <w:rPr>
          <w:rStyle w:val="FootnoteReference"/>
        </w:rPr>
        <w:footnoteRef/>
      </w:r>
      <w:r w:rsidR="00071E69" w:rsidRPr="00D21A7A">
        <w:rPr>
          <w:lang w:val="en-IE"/>
        </w:rPr>
        <w:t xml:space="preserve">   </w:t>
      </w:r>
      <w:r w:rsidR="00810D77" w:rsidRPr="00D21A7A">
        <w:rPr>
          <w:lang w:val="en-IE"/>
        </w:rPr>
        <w:t>202</w:t>
      </w:r>
      <w:r w:rsidR="00AD568A" w:rsidRPr="00D21A7A">
        <w:rPr>
          <w:lang w:val="en-IE"/>
        </w:rPr>
        <w:t>6 Media Pluralism Monitor</w:t>
      </w:r>
      <w:r w:rsidR="00F40261" w:rsidRPr="00D21A7A">
        <w:rPr>
          <w:lang w:val="en-IE"/>
        </w:rPr>
        <w:t>, Romania, p.</w:t>
      </w:r>
      <w:r w:rsidR="006C6241" w:rsidRPr="00D21A7A">
        <w:rPr>
          <w:lang w:val="en-IE"/>
        </w:rPr>
        <w:t xml:space="preserve"> 20-21.</w:t>
      </w:r>
      <w:r w:rsidR="00AD568A" w:rsidRPr="00D21A7A">
        <w:rPr>
          <w:lang w:val="en-IE"/>
        </w:rPr>
        <w:t xml:space="preserve"> </w:t>
      </w:r>
    </w:p>
  </w:footnote>
  <w:footnote w:id="142">
    <w:p w14:paraId="61F948B6" w14:textId="77777777" w:rsidR="003D13B0" w:rsidRPr="00383CCD" w:rsidRDefault="003D13B0" w:rsidP="003D13B0">
      <w:pPr>
        <w:pStyle w:val="FootnoteText"/>
        <w:rPr>
          <w:lang w:val="en-IE"/>
        </w:rPr>
      </w:pPr>
      <w:r>
        <w:rPr>
          <w:rStyle w:val="FootnoteReference"/>
        </w:rPr>
        <w:footnoteRef/>
      </w:r>
      <w:r>
        <w:t xml:space="preserve"> </w:t>
      </w:r>
      <w:r>
        <w:tab/>
      </w:r>
      <w:r>
        <w:rPr>
          <w:lang w:val="en-IE"/>
        </w:rPr>
        <w:t>Expert Forum Report (2025), Financing of political parties in 2025 and the need for urgent reform, p. 4.</w:t>
      </w:r>
    </w:p>
  </w:footnote>
  <w:footnote w:id="143">
    <w:p w14:paraId="33675478" w14:textId="77777777" w:rsidR="003D13B0" w:rsidRPr="00383CCD" w:rsidRDefault="003D13B0" w:rsidP="003D13B0">
      <w:pPr>
        <w:pStyle w:val="FootnoteText"/>
        <w:rPr>
          <w:lang w:val="en-IE"/>
        </w:rPr>
      </w:pPr>
      <w:r>
        <w:rPr>
          <w:rStyle w:val="FootnoteReference"/>
        </w:rPr>
        <w:footnoteRef/>
      </w:r>
      <w:r>
        <w:t xml:space="preserve"> </w:t>
      </w:r>
      <w:r>
        <w:tab/>
      </w:r>
      <w:r>
        <w:rPr>
          <w:lang w:val="en-IE"/>
        </w:rPr>
        <w:t xml:space="preserve">2025 Rule of Law Report, Romania, p. 14. </w:t>
      </w:r>
    </w:p>
  </w:footnote>
  <w:footnote w:id="144">
    <w:p w14:paraId="1E205E15" w14:textId="77777777" w:rsidR="003D13B0" w:rsidRPr="0022271F" w:rsidRDefault="003D13B0" w:rsidP="003D13B0">
      <w:pPr>
        <w:pStyle w:val="FootnoteText"/>
        <w:rPr>
          <w:lang w:val="en-IE"/>
        </w:rPr>
      </w:pPr>
      <w:r>
        <w:rPr>
          <w:rStyle w:val="FootnoteReference"/>
        </w:rPr>
        <w:footnoteRef/>
      </w:r>
      <w:r>
        <w:t xml:space="preserve"> </w:t>
      </w:r>
      <w:r>
        <w:tab/>
      </w:r>
      <w:r w:rsidRPr="00780088">
        <w:t>Country visit Romania, Journalis</w:t>
      </w:r>
      <w:r>
        <w:t>t</w:t>
      </w:r>
      <w:r w:rsidRPr="00780088">
        <w:t xml:space="preserve"> Associations.</w:t>
      </w:r>
    </w:p>
  </w:footnote>
  <w:footnote w:id="145">
    <w:p w14:paraId="5AC600FA" w14:textId="77777777" w:rsidR="003D13B0" w:rsidRDefault="003D13B0" w:rsidP="003D13B0">
      <w:pPr>
        <w:pStyle w:val="FootnoteText"/>
      </w:pPr>
      <w:r>
        <w:rPr>
          <w:rStyle w:val="FootnoteReference"/>
        </w:rPr>
        <w:footnoteRef/>
      </w:r>
      <w:r w:rsidRPr="00780088">
        <w:t xml:space="preserve"> </w:t>
      </w:r>
      <w:r>
        <w:tab/>
        <w:t>Ibidem</w:t>
      </w:r>
      <w:r w:rsidRPr="00780088">
        <w:t>.</w:t>
      </w:r>
      <w:r>
        <w:t xml:space="preserve"> </w:t>
      </w:r>
      <w:r w:rsidRPr="00780088">
        <w:t>2025 Rule of Law Report, p.13.</w:t>
      </w:r>
    </w:p>
  </w:footnote>
  <w:footnote w:id="146">
    <w:p w14:paraId="79205D3E" w14:textId="19996717" w:rsidR="003D13B0" w:rsidRDefault="003D13B0" w:rsidP="003D13B0">
      <w:pPr>
        <w:pStyle w:val="FootnoteText"/>
      </w:pPr>
      <w:r>
        <w:rPr>
          <w:rStyle w:val="FootnoteReference"/>
        </w:rPr>
        <w:footnoteRef/>
      </w:r>
      <w:r>
        <w:t xml:space="preserve"> </w:t>
      </w:r>
      <w:r>
        <w:tab/>
        <w:t>Reporters Without Borders and Active Watch (2026), written input, p.17;</w:t>
      </w:r>
      <w:r w:rsidRPr="006E307D">
        <w:t xml:space="preserve"> </w:t>
      </w:r>
      <w:r w:rsidRPr="00780088">
        <w:t xml:space="preserve">IPI-MJRC Report </w:t>
      </w:r>
      <w:r>
        <w:t>(2025),</w:t>
      </w:r>
      <w:r w:rsidRPr="00780088">
        <w:t xml:space="preserve"> Media Capture Monitoring Report: Romania</w:t>
      </w:r>
      <w:r>
        <w:t>,</w:t>
      </w:r>
      <w:r w:rsidRPr="00780088">
        <w:t xml:space="preserve"> p.25</w:t>
      </w:r>
      <w:r>
        <w:t>.</w:t>
      </w:r>
    </w:p>
  </w:footnote>
  <w:footnote w:id="147">
    <w:p w14:paraId="69A61F56" w14:textId="77777777" w:rsidR="003D13B0" w:rsidRPr="00310B17" w:rsidRDefault="003D13B0" w:rsidP="003D13B0">
      <w:pPr>
        <w:pStyle w:val="FootnoteText"/>
      </w:pPr>
      <w:r>
        <w:rPr>
          <w:rStyle w:val="FootnoteReference"/>
        </w:rPr>
        <w:footnoteRef/>
      </w:r>
      <w:r>
        <w:t xml:space="preserve"> </w:t>
      </w:r>
      <w:r>
        <w:tab/>
        <w:t>Reporters Without Borders and Active Watch (2026), written input, p.22.</w:t>
      </w:r>
    </w:p>
  </w:footnote>
  <w:footnote w:id="148">
    <w:p w14:paraId="250D2459" w14:textId="77777777" w:rsidR="003D13B0" w:rsidRPr="00CD775E" w:rsidRDefault="003D13B0" w:rsidP="003D13B0">
      <w:pPr>
        <w:pStyle w:val="FootnoteText"/>
      </w:pPr>
      <w:r>
        <w:rPr>
          <w:rStyle w:val="FootnoteReference"/>
        </w:rPr>
        <w:footnoteRef/>
      </w:r>
      <w:r>
        <w:t xml:space="preserve"> </w:t>
      </w:r>
      <w:r>
        <w:tab/>
      </w:r>
      <w:r w:rsidRPr="00BB48FF">
        <w:rPr>
          <w:lang w:val="en-IE"/>
        </w:rPr>
        <w:t>Co</w:t>
      </w:r>
      <w:r>
        <w:rPr>
          <w:lang w:val="en-IE"/>
        </w:rPr>
        <w:t>untry visit Romania, Apador-CH, Public Innovation, PressHub, Freedom House, Funky Citizens, Civic Radauti, Expert Forum, FDSC.</w:t>
      </w:r>
    </w:p>
  </w:footnote>
  <w:footnote w:id="149">
    <w:p w14:paraId="043838B6" w14:textId="325A8CF1" w:rsidR="003D13B0" w:rsidRDefault="003D13B0" w:rsidP="003D13B0">
      <w:pPr>
        <w:pStyle w:val="FootnoteText"/>
        <w:rPr>
          <w:rFonts w:eastAsia="Calibri" w:cs="Arial"/>
        </w:rPr>
      </w:pPr>
      <w:r>
        <w:rPr>
          <w:rStyle w:val="FootnoteReference"/>
        </w:rPr>
        <w:footnoteRef/>
      </w:r>
      <w:r>
        <w:t xml:space="preserve"> </w:t>
      </w:r>
      <w:r>
        <w:tab/>
        <w:t xml:space="preserve">Council of Europe, Safety of Journalists Platform Alert: </w:t>
      </w:r>
      <w:r w:rsidRPr="44105A48">
        <w:rPr>
          <w:rFonts w:eastAsia="Calibri" w:cs="Arial"/>
        </w:rPr>
        <w:t>Smear Campaign, Death Threats and Harassment Against Journalist Emilia Şercan Over Report</w:t>
      </w:r>
      <w:r w:rsidR="44105A48" w:rsidRPr="44105A48">
        <w:rPr>
          <w:rFonts w:eastAsia="Calibri" w:cs="Arial"/>
        </w:rPr>
        <w:t xml:space="preserve"> – no state reply</w:t>
      </w:r>
      <w:r w:rsidRPr="44105A48">
        <w:rPr>
          <w:rFonts w:eastAsia="Calibri" w:cs="Arial"/>
        </w:rPr>
        <w:t>.</w:t>
      </w:r>
    </w:p>
  </w:footnote>
  <w:footnote w:id="150">
    <w:p w14:paraId="7BE45171" w14:textId="46338BCE" w:rsidR="003D13B0" w:rsidRDefault="003D13B0" w:rsidP="003D13B0">
      <w:pPr>
        <w:pStyle w:val="FootnoteText"/>
        <w:rPr>
          <w:rFonts w:eastAsia="Calibri" w:cs="Arial"/>
        </w:rPr>
      </w:pPr>
      <w:r>
        <w:rPr>
          <w:rStyle w:val="FootnoteReference"/>
        </w:rPr>
        <w:footnoteRef/>
      </w:r>
      <w:r>
        <w:t xml:space="preserve"> </w:t>
      </w:r>
      <w:r>
        <w:tab/>
        <w:t xml:space="preserve">Council of Europe, Safety of Journalists Platform Alert: Investigative Journalist </w:t>
      </w:r>
      <w:r w:rsidRPr="00076E4B">
        <w:t>Brîndușa Armanca and PressHub Face Multiple Defamation Lawsuits Over Reports</w:t>
      </w:r>
      <w:r w:rsidR="44105A48">
        <w:t xml:space="preserve"> - no state reply. </w:t>
      </w:r>
    </w:p>
  </w:footnote>
  <w:footnote w:id="151">
    <w:p w14:paraId="157E2CAE" w14:textId="46558D8D" w:rsidR="00CF729E" w:rsidRPr="002A5764" w:rsidRDefault="00CF729E">
      <w:pPr>
        <w:pStyle w:val="FootnoteText"/>
        <w:rPr>
          <w:lang w:val="en-IE"/>
        </w:rPr>
      </w:pPr>
      <w:r>
        <w:rPr>
          <w:rStyle w:val="FootnoteReference"/>
        </w:rPr>
        <w:footnoteRef/>
      </w:r>
      <w:r>
        <w:rPr>
          <w:lang w:val="en-IE"/>
        </w:rPr>
        <w:t xml:space="preserve">  Council of Europe, Safety of Journalists Platform Alert: </w:t>
      </w:r>
      <w:r w:rsidR="00582A4E">
        <w:rPr>
          <w:lang w:val="en-IE"/>
        </w:rPr>
        <w:t>Draft Law requiring NGOs, including Media, to publish donor identities.</w:t>
      </w:r>
      <w:r w:rsidR="00A24270">
        <w:rPr>
          <w:lang w:val="en-IE"/>
        </w:rPr>
        <w:t xml:space="preserve"> On th</w:t>
      </w:r>
      <w:r w:rsidR="002B7305">
        <w:rPr>
          <w:lang w:val="en-IE"/>
        </w:rPr>
        <w:t>e third alert, see also pillar IV.</w:t>
      </w:r>
      <w:r w:rsidR="00FA7A50">
        <w:rPr>
          <w:lang w:val="en-IE"/>
        </w:rPr>
        <w:t xml:space="preserve"> State reply expected </w:t>
      </w:r>
      <w:r w:rsidR="00115DDF">
        <w:rPr>
          <w:lang w:val="en-IE"/>
        </w:rPr>
        <w:t xml:space="preserve">02 </w:t>
      </w:r>
      <w:r w:rsidR="00FA7A50">
        <w:rPr>
          <w:lang w:val="en-IE"/>
        </w:rPr>
        <w:t>September 2026</w:t>
      </w:r>
      <w:r w:rsidR="00115DDF">
        <w:rPr>
          <w:lang w:val="en-IE"/>
        </w:rPr>
        <w:t>.</w:t>
      </w:r>
    </w:p>
  </w:footnote>
  <w:footnote w:id="152">
    <w:p w14:paraId="01154627" w14:textId="047AE0AE" w:rsidR="003D13B0" w:rsidRDefault="003D13B0" w:rsidP="003D13B0">
      <w:pPr>
        <w:pStyle w:val="FootnoteText"/>
      </w:pPr>
      <w:r w:rsidRPr="00A50688">
        <w:rPr>
          <w:rStyle w:val="FootnoteReference"/>
          <w:sz w:val="22"/>
        </w:rPr>
        <w:footnoteRef/>
      </w:r>
      <w:r>
        <w:t xml:space="preserve"> </w:t>
      </w:r>
      <w:r>
        <w:tab/>
      </w:r>
      <w:r w:rsidRPr="00482726">
        <w:t>Romanian Government (2026</w:t>
      </w:r>
      <w:r w:rsidR="007C4933">
        <w:t>a</w:t>
      </w:r>
      <w:r w:rsidRPr="00482726">
        <w:t xml:space="preserve">), </w:t>
      </w:r>
      <w:r>
        <w:t xml:space="preserve">written input, </w:t>
      </w:r>
      <w:r w:rsidRPr="00482726">
        <w:t>Annex no. 12.</w:t>
      </w:r>
    </w:p>
  </w:footnote>
  <w:footnote w:id="153">
    <w:p w14:paraId="28310170" w14:textId="77777777" w:rsidR="003D13B0" w:rsidRPr="00EB28F8" w:rsidRDefault="003D13B0" w:rsidP="003D13B0">
      <w:pPr>
        <w:pStyle w:val="FootnoteText"/>
      </w:pPr>
      <w:r>
        <w:rPr>
          <w:rStyle w:val="FootnoteReference"/>
        </w:rPr>
        <w:footnoteRef/>
      </w:r>
      <w:r>
        <w:tab/>
      </w:r>
      <w:r w:rsidRPr="008F7B37">
        <w:t xml:space="preserve">Such claims have reached record amounts: </w:t>
      </w:r>
      <w:r>
        <w:t xml:space="preserve">EUR </w:t>
      </w:r>
      <w:r w:rsidRPr="008F7B37">
        <w:t>3,465,000 requested from the independent media platform Context, following a journalistic investigation about a businessman and his company</w:t>
      </w:r>
      <w:r>
        <w:t xml:space="preserve">. </w:t>
      </w:r>
      <w:r w:rsidRPr="00967B6C">
        <w:t>Active Watch report (2026): SLAPPS and Freedom of Expression in Romania</w:t>
      </w:r>
      <w:r>
        <w:t>.</w:t>
      </w:r>
    </w:p>
  </w:footnote>
  <w:footnote w:id="154">
    <w:p w14:paraId="7B10F329" w14:textId="77777777" w:rsidR="003D13B0" w:rsidRPr="00443D79" w:rsidRDefault="003D13B0" w:rsidP="003D13B0">
      <w:pPr>
        <w:pStyle w:val="FootnoteText"/>
      </w:pPr>
      <w:r>
        <w:rPr>
          <w:rStyle w:val="FootnoteReference"/>
        </w:rPr>
        <w:footnoteRef/>
      </w:r>
      <w:r>
        <w:t xml:space="preserve"> </w:t>
      </w:r>
      <w:r>
        <w:tab/>
      </w:r>
      <w:r w:rsidRPr="00F5382E">
        <w:rPr>
          <w:rFonts w:eastAsia="Calibri" w:cs="Arial"/>
          <w:szCs w:val="24"/>
        </w:rPr>
        <w:t>Active Watch report (2026): SLAPPS and Freedom of Expression in Romania, p. 9.</w:t>
      </w:r>
    </w:p>
  </w:footnote>
  <w:footnote w:id="155">
    <w:p w14:paraId="544D708E" w14:textId="66AFE86B" w:rsidR="003D13B0" w:rsidRPr="00495371" w:rsidRDefault="003D13B0" w:rsidP="003D13B0">
      <w:pPr>
        <w:pStyle w:val="FootnoteText"/>
      </w:pPr>
      <w:r w:rsidRPr="00F5382E">
        <w:rPr>
          <w:rStyle w:val="FootnoteReference"/>
        </w:rPr>
        <w:footnoteRef/>
      </w:r>
      <w:r w:rsidRPr="00F5382E">
        <w:rPr>
          <w:rStyle w:val="FootnoteReference"/>
        </w:rPr>
        <w:t xml:space="preserve"> </w:t>
      </w:r>
      <w:r>
        <w:rPr>
          <w:rStyle w:val="FootnoteReference"/>
        </w:rPr>
        <w:tab/>
      </w:r>
      <w:r>
        <w:t>Reporters Without Borders</w:t>
      </w:r>
      <w:r w:rsidRPr="00C24563">
        <w:t xml:space="preserve"> and Active Watch</w:t>
      </w:r>
      <w:r>
        <w:t xml:space="preserve"> (2026)</w:t>
      </w:r>
      <w:r w:rsidRPr="00C24563">
        <w:t>,</w:t>
      </w:r>
      <w:r>
        <w:t xml:space="preserve"> written input,</w:t>
      </w:r>
      <w:r w:rsidRPr="00C24563">
        <w:t xml:space="preserve"> p.21; Country visit Romania (2026), </w:t>
      </w:r>
      <w:r>
        <w:t>J</w:t>
      </w:r>
      <w:r w:rsidRPr="00C24563">
        <w:t>ournalis</w:t>
      </w:r>
      <w:r>
        <w:t>t</w:t>
      </w:r>
      <w:r w:rsidRPr="00C24563">
        <w:t xml:space="preserve"> associations</w:t>
      </w:r>
      <w:r>
        <w:t>.</w:t>
      </w:r>
    </w:p>
  </w:footnote>
  <w:footnote w:id="156">
    <w:p w14:paraId="39E3D52C" w14:textId="77777777" w:rsidR="003D13B0" w:rsidRPr="00BB3303" w:rsidRDefault="003D13B0" w:rsidP="003D13B0">
      <w:pPr>
        <w:pStyle w:val="FootnoteText"/>
      </w:pPr>
      <w:r>
        <w:rPr>
          <w:rStyle w:val="FootnoteReference"/>
        </w:rPr>
        <w:footnoteRef/>
      </w:r>
      <w:r>
        <w:t xml:space="preserve"> </w:t>
      </w:r>
      <w:r>
        <w:tab/>
      </w:r>
      <w:r w:rsidRPr="0077267F">
        <w:t xml:space="preserve">Country visit Romania, </w:t>
      </w:r>
      <w:r>
        <w:t>J</w:t>
      </w:r>
      <w:r w:rsidRPr="0077267F">
        <w:t>ournalis</w:t>
      </w:r>
      <w:r>
        <w:t>t</w:t>
      </w:r>
      <w:r w:rsidRPr="0077267F">
        <w:t xml:space="preserve"> associations.</w:t>
      </w:r>
    </w:p>
  </w:footnote>
  <w:footnote w:id="157">
    <w:p w14:paraId="7475CDCD" w14:textId="77777777" w:rsidR="003D13B0" w:rsidRPr="00C94768" w:rsidRDefault="003D13B0" w:rsidP="003D13B0">
      <w:pPr>
        <w:pStyle w:val="FootnoteText"/>
      </w:pPr>
      <w:r>
        <w:rPr>
          <w:rStyle w:val="FootnoteReference"/>
        </w:rPr>
        <w:footnoteRef/>
      </w:r>
      <w:r>
        <w:t xml:space="preserve"> </w:t>
      </w:r>
      <w:r>
        <w:tab/>
        <w:t xml:space="preserve">See Active Watch (2026), </w:t>
      </w:r>
      <w:r w:rsidRPr="00F642FC">
        <w:t>Report</w:t>
      </w:r>
      <w:r>
        <w:t xml:space="preserve"> on</w:t>
      </w:r>
      <w:r w:rsidRPr="00F642FC">
        <w:t xml:space="preserve"> </w:t>
      </w:r>
      <w:r>
        <w:t>SLAPPs and Freedom of Expression in Romania</w:t>
      </w:r>
      <w:r w:rsidRPr="00F642FC">
        <w:t>. FreeEx Digest No 11</w:t>
      </w:r>
      <w:r>
        <w:t xml:space="preserve">. </w:t>
      </w:r>
      <w:r w:rsidRPr="00482726">
        <w:rPr>
          <w:rFonts w:eastAsia="Calibri" w:cs="Arial"/>
          <w:szCs w:val="24"/>
        </w:rPr>
        <w:t>Country visit Romania, Journalism associations.</w:t>
      </w:r>
    </w:p>
  </w:footnote>
  <w:footnote w:id="158">
    <w:p w14:paraId="7044225F" w14:textId="77777777" w:rsidR="00EF5E9E" w:rsidRPr="002F1A92" w:rsidRDefault="00EF5E9E" w:rsidP="00EF5E9E">
      <w:pPr>
        <w:pStyle w:val="FootnoteText"/>
      </w:pPr>
      <w:r>
        <w:rPr>
          <w:rStyle w:val="FootnoteReference"/>
        </w:rPr>
        <w:footnoteRef/>
      </w:r>
      <w:r>
        <w:t xml:space="preserve"> </w:t>
      </w:r>
      <w:r>
        <w:tab/>
      </w:r>
      <w:r w:rsidRPr="009627BD">
        <w:rPr>
          <w:rFonts w:eastAsia="Aptos"/>
          <w:lang w:val="en-IE"/>
        </w:rPr>
        <w:t>(EU) 2022/758 of 27 April 2022</w:t>
      </w:r>
      <w:r>
        <w:rPr>
          <w:rFonts w:eastAsia="Aptos"/>
          <w:lang w:val="en-IE"/>
        </w:rPr>
        <w:t>.</w:t>
      </w:r>
    </w:p>
  </w:footnote>
  <w:footnote w:id="159">
    <w:p w14:paraId="46D629AE" w14:textId="6FB78899" w:rsidR="00535629" w:rsidRPr="0022271F" w:rsidRDefault="00535629" w:rsidP="00535629">
      <w:pPr>
        <w:pStyle w:val="FootnoteText"/>
        <w:rPr>
          <w:lang w:val="en-IE"/>
        </w:rPr>
      </w:pPr>
      <w:r>
        <w:rPr>
          <w:rStyle w:val="FootnoteReference"/>
        </w:rPr>
        <w:footnoteRef/>
      </w:r>
      <w:r>
        <w:t xml:space="preserve"> </w:t>
      </w:r>
      <w:r w:rsidRPr="0022271F">
        <w:rPr>
          <w:lang w:val="en-IE"/>
        </w:rPr>
        <w:tab/>
        <w:t xml:space="preserve">See pillar </w:t>
      </w:r>
      <w:r w:rsidR="0047714B">
        <w:rPr>
          <w:lang w:val="en-IE"/>
        </w:rPr>
        <w:t xml:space="preserve">IV </w:t>
      </w:r>
      <w:r w:rsidRPr="0022271F">
        <w:rPr>
          <w:lang w:val="en-IE"/>
        </w:rPr>
        <w:t>on the r</w:t>
      </w:r>
      <w:r>
        <w:rPr>
          <w:lang w:val="en-IE"/>
        </w:rPr>
        <w:t>esources of the Romanian Institute for Human Rights.</w:t>
      </w:r>
    </w:p>
  </w:footnote>
  <w:footnote w:id="160">
    <w:p w14:paraId="36E717BE" w14:textId="535AF74C" w:rsidR="004E1837" w:rsidRPr="004E1837" w:rsidRDefault="004E1837">
      <w:pPr>
        <w:pStyle w:val="FootnoteText"/>
        <w:rPr>
          <w:lang w:val="en-IE"/>
        </w:rPr>
      </w:pPr>
      <w:r>
        <w:rPr>
          <w:rStyle w:val="FootnoteReference"/>
        </w:rPr>
        <w:footnoteRef/>
      </w:r>
      <w:r>
        <w:t xml:space="preserve"> </w:t>
      </w:r>
      <w:r>
        <w:tab/>
        <w:t xml:space="preserve">Country visit Romania, Ministry of Justice </w:t>
      </w:r>
    </w:p>
  </w:footnote>
  <w:footnote w:id="161">
    <w:p w14:paraId="27A0F6CC" w14:textId="1E0C03E0" w:rsidR="009D75F7" w:rsidRPr="00D21A7A" w:rsidRDefault="009D75F7">
      <w:pPr>
        <w:pStyle w:val="FootnoteText"/>
        <w:rPr>
          <w:lang w:val="en-IE"/>
        </w:rPr>
      </w:pPr>
      <w:r>
        <w:rPr>
          <w:rStyle w:val="FootnoteReference"/>
        </w:rPr>
        <w:footnoteRef/>
      </w:r>
      <w:r w:rsidRPr="00D21A7A">
        <w:rPr>
          <w:lang w:val="en-IE"/>
        </w:rPr>
        <w:t xml:space="preserve">   2026 Media Pluralism Monitor, Romania, p. 12-13. </w:t>
      </w:r>
    </w:p>
  </w:footnote>
  <w:footnote w:id="162">
    <w:p w14:paraId="5A665E20" w14:textId="7F7A48E6" w:rsidR="003D13B0" w:rsidRPr="00665911" w:rsidRDefault="003D13B0" w:rsidP="003D13B0">
      <w:pPr>
        <w:pStyle w:val="FootnoteText"/>
        <w:rPr>
          <w:lang w:val="en-IE"/>
        </w:rPr>
      </w:pPr>
      <w:r>
        <w:rPr>
          <w:rStyle w:val="FootnoteReference"/>
        </w:rPr>
        <w:footnoteRef/>
      </w:r>
      <w:r>
        <w:t xml:space="preserve"> </w:t>
      </w:r>
      <w:r>
        <w:tab/>
      </w:r>
      <w:r w:rsidRPr="005E1745">
        <w:t xml:space="preserve">The 2025 Rule of Law Report recommended Romania to </w:t>
      </w:r>
      <w:r>
        <w:t>“s</w:t>
      </w:r>
      <w:r w:rsidRPr="00665911">
        <w:t>tep up efforts to address the frequent use of government emergency ordinances and to ensure effective public consultations before the adoption of legislation</w:t>
      </w:r>
      <w:r>
        <w:t>”</w:t>
      </w:r>
      <w:r w:rsidRPr="00665911">
        <w:t>.</w:t>
      </w:r>
      <w:r>
        <w:t xml:space="preserve"> While there was no progress on the recommendation to ensure effective public consultations in 2023 and 2024, some progress had been made in 2025. On these topics, see also </w:t>
      </w:r>
      <w:r w:rsidR="000129F0">
        <w:t xml:space="preserve">in the context of </w:t>
      </w:r>
      <w:r>
        <w:t xml:space="preserve">the European Semester, </w:t>
      </w:r>
      <w:r w:rsidR="009D1CA1">
        <w:t>the Commission has proposed that the Council recommend</w:t>
      </w:r>
      <w:r w:rsidR="00311348">
        <w:t>s</w:t>
      </w:r>
      <w:r w:rsidR="009D1CA1">
        <w:t xml:space="preserve"> </w:t>
      </w:r>
      <w:r w:rsidR="00D63E8E">
        <w:t>that Romania “</w:t>
      </w:r>
      <w:r w:rsidR="007B47F5">
        <w:rPr>
          <w:lang w:val="en-IE"/>
        </w:rPr>
        <w:t>i</w:t>
      </w:r>
      <w:r w:rsidR="007B47F5" w:rsidRPr="007B47F5">
        <w:rPr>
          <w:lang w:val="en-IE"/>
        </w:rPr>
        <w:t>mprove</w:t>
      </w:r>
      <w:r w:rsidR="007B47F5">
        <w:rPr>
          <w:lang w:val="en-IE"/>
        </w:rPr>
        <w:t>[s]</w:t>
      </w:r>
      <w:r w:rsidR="007B47F5" w:rsidRPr="007B47F5">
        <w:rPr>
          <w:lang w:val="en-IE"/>
        </w:rPr>
        <w:t xml:space="preserve"> </w:t>
      </w:r>
      <w:r w:rsidR="007B47F5">
        <w:rPr>
          <w:lang w:val="en-IE"/>
        </w:rPr>
        <w:t>(…)</w:t>
      </w:r>
      <w:r w:rsidR="007B47F5" w:rsidRPr="007B47F5">
        <w:rPr>
          <w:lang w:val="en-IE"/>
        </w:rPr>
        <w:t xml:space="preserve"> the predictability and quality of decision-making, through appropriate stakeholder consultations,</w:t>
      </w:r>
      <w:r w:rsidR="00ED63DB">
        <w:rPr>
          <w:lang w:val="en-IE"/>
        </w:rPr>
        <w:t xml:space="preserve"> </w:t>
      </w:r>
      <w:r w:rsidR="004D78A7">
        <w:rPr>
          <w:lang w:val="en-IE"/>
        </w:rPr>
        <w:t>(…)</w:t>
      </w:r>
      <w:r w:rsidR="005F67C3">
        <w:rPr>
          <w:lang w:val="en-IE"/>
        </w:rPr>
        <w:t>”</w:t>
      </w:r>
      <w:r w:rsidR="007B47F5" w:rsidRPr="007B47F5">
        <w:rPr>
          <w:lang w:val="en-IE"/>
        </w:rPr>
        <w:t xml:space="preserve">. </w:t>
      </w:r>
    </w:p>
  </w:footnote>
  <w:footnote w:id="163">
    <w:p w14:paraId="2435E3E5" w14:textId="77777777" w:rsidR="003D13B0" w:rsidRPr="00EA56B7" w:rsidRDefault="003D13B0" w:rsidP="003D13B0">
      <w:pPr>
        <w:pStyle w:val="FootnoteText"/>
      </w:pPr>
      <w:r>
        <w:rPr>
          <w:rStyle w:val="FootnoteReference"/>
        </w:rPr>
        <w:footnoteRef/>
      </w:r>
      <w:r>
        <w:t xml:space="preserve"> </w:t>
      </w:r>
      <w:r>
        <w:tab/>
        <w:t xml:space="preserve">See e.g. </w:t>
      </w:r>
      <w:r w:rsidRPr="00CA7982">
        <w:t>Government Emergency Ordinance No. 89/23.12.2025 amending and supplementing Law No. 227/2015 on the Fiscal Code, regulating certain fiscal and budgetary measures, as well as amending and supplementing certain normative acts</w:t>
      </w:r>
      <w:r>
        <w:t xml:space="preserve">. It modified </w:t>
      </w:r>
      <w:r w:rsidRPr="00182B33">
        <w:rPr>
          <w:lang w:val="en-IE"/>
        </w:rPr>
        <w:t>the Fiscal Code, the Fiscal Procedure Code and other laws and ordinances</w:t>
      </w:r>
      <w:r>
        <w:rPr>
          <w:lang w:val="en-IE"/>
        </w:rPr>
        <w:t>. Other topics include public procurements, energy market, prices of food products, labour law, etc. Country visit Romania, CSOs.</w:t>
      </w:r>
    </w:p>
  </w:footnote>
  <w:footnote w:id="164">
    <w:p w14:paraId="42747BBE" w14:textId="2B96385C" w:rsidR="003D13B0" w:rsidRPr="00AD010A" w:rsidRDefault="003D13B0" w:rsidP="003D13B0">
      <w:pPr>
        <w:pStyle w:val="FootnoteText"/>
        <w:rPr>
          <w:lang w:val="en-IE"/>
        </w:rPr>
      </w:pPr>
      <w:r>
        <w:rPr>
          <w:rStyle w:val="FootnoteReference"/>
        </w:rPr>
        <w:footnoteRef/>
      </w:r>
      <w:r>
        <w:t xml:space="preserve"> </w:t>
      </w:r>
      <w:r w:rsidRPr="00AD010A">
        <w:rPr>
          <w:lang w:val="en-IE"/>
        </w:rPr>
        <w:tab/>
        <w:t>93 Government Emergency Ordinances were a</w:t>
      </w:r>
      <w:r>
        <w:rPr>
          <w:lang w:val="en-IE"/>
        </w:rPr>
        <w:t>dopted in 2025, meaning that every 4 days Romanians were in an “extraordinary situation whose regulation [could] not be postponed” (</w:t>
      </w:r>
      <w:r>
        <w:t>Article 115(</w:t>
      </w:r>
      <w:r w:rsidR="00C513A9">
        <w:t>4</w:t>
      </w:r>
      <w:r>
        <w:t>) of the Constitution).</w:t>
      </w:r>
    </w:p>
  </w:footnote>
  <w:footnote w:id="165">
    <w:p w14:paraId="09BC00AB" w14:textId="77777777" w:rsidR="003D13B0" w:rsidRPr="00DC2EBC" w:rsidRDefault="003D13B0" w:rsidP="003D13B0">
      <w:pPr>
        <w:pStyle w:val="FootnoteText"/>
      </w:pPr>
      <w:r>
        <w:rPr>
          <w:rStyle w:val="FootnoteReference"/>
        </w:rPr>
        <w:footnoteRef/>
      </w:r>
      <w:r>
        <w:t xml:space="preserve"> </w:t>
      </w:r>
      <w:r>
        <w:tab/>
      </w:r>
      <w:r w:rsidRPr="0067773C">
        <w:t>Country visit to Romania, Concordia and Romanian Business Leaders; Foreign Investors’ Council Romania (2026), written input, p. 2.</w:t>
      </w:r>
      <w:r>
        <w:t xml:space="preserve"> It is also a challenge for magistrates, see EAJ (2026), p. 42.</w:t>
      </w:r>
    </w:p>
  </w:footnote>
  <w:footnote w:id="166">
    <w:p w14:paraId="0C724F08" w14:textId="68DF0689" w:rsidR="003D13B0" w:rsidRPr="000E5A63" w:rsidRDefault="003D13B0" w:rsidP="003D13B0">
      <w:pPr>
        <w:pStyle w:val="FootnoteText"/>
      </w:pPr>
      <w:r w:rsidRPr="000E5A63">
        <w:rPr>
          <w:rStyle w:val="FootnoteReference"/>
        </w:rPr>
        <w:footnoteRef/>
      </w:r>
      <w:r w:rsidRPr="000E5A63">
        <w:t xml:space="preserve"> </w:t>
      </w:r>
      <w:r w:rsidRPr="000E5A63">
        <w:tab/>
      </w:r>
      <w:r>
        <w:t xml:space="preserve">All draft laws are not yet uploaded in the system. A possibility for citizens, CSOs and businesses to register for notifications on certain topics has not yet been implemented. </w:t>
      </w:r>
      <w:r w:rsidRPr="000E5A63">
        <w:t>Ibidem, and</w:t>
      </w:r>
      <w:r>
        <w:t xml:space="preserve"> Country visit,</w:t>
      </w:r>
      <w:r w:rsidRPr="000E5A63">
        <w:t xml:space="preserve"> </w:t>
      </w:r>
      <w:r>
        <w:t xml:space="preserve">the Government and </w:t>
      </w:r>
      <w:r w:rsidRPr="000E5A63">
        <w:t>CSOs (</w:t>
      </w:r>
      <w:r w:rsidRPr="000E5A63">
        <w:rPr>
          <w:lang w:val="en-IE"/>
        </w:rPr>
        <w:t>Apador-CH, Public Innovation, PressHub, Freedom House, Funky Citizens, Civic Radauti, Expert Forum, FDSC).</w:t>
      </w:r>
    </w:p>
  </w:footnote>
  <w:footnote w:id="167">
    <w:p w14:paraId="184E8E25" w14:textId="14DD6D12" w:rsidR="003D13B0" w:rsidRPr="0083765F" w:rsidRDefault="003D13B0" w:rsidP="003D13B0">
      <w:pPr>
        <w:pStyle w:val="FootnoteText"/>
        <w:rPr>
          <w:lang w:val="en-IE"/>
        </w:rPr>
      </w:pPr>
      <w:r w:rsidRPr="000E5A63">
        <w:rPr>
          <w:rStyle w:val="FootnoteReference"/>
        </w:rPr>
        <w:footnoteRef/>
      </w:r>
      <w:r w:rsidRPr="000E5A63">
        <w:t xml:space="preserve"> </w:t>
      </w:r>
      <w:r w:rsidRPr="000E5A63">
        <w:tab/>
      </w:r>
      <w:r>
        <w:t xml:space="preserve">Country visit, </w:t>
      </w:r>
      <w:r w:rsidRPr="000E5A63">
        <w:t>CSOs</w:t>
      </w:r>
      <w:r>
        <w:t>, FRA(2026)</w:t>
      </w:r>
      <w:r w:rsidR="00536652">
        <w:t xml:space="preserve">, </w:t>
      </w:r>
      <w:r w:rsidR="00E332EB">
        <w:t>written input, pp. 272-273</w:t>
      </w:r>
      <w:r>
        <w:t xml:space="preserve"> and </w:t>
      </w:r>
      <w:r w:rsidRPr="005413CB">
        <w:t xml:space="preserve">Coalition NGOs for Citizens </w:t>
      </w:r>
      <w:r>
        <w:t>(2025).</w:t>
      </w:r>
    </w:p>
  </w:footnote>
  <w:footnote w:id="168">
    <w:p w14:paraId="18AFE9AD" w14:textId="7530B6BA" w:rsidR="003D13B0" w:rsidRPr="00915173" w:rsidRDefault="003D13B0" w:rsidP="003D13B0">
      <w:pPr>
        <w:pStyle w:val="FootnoteText"/>
      </w:pPr>
      <w:r>
        <w:rPr>
          <w:rStyle w:val="FootnoteReference"/>
        </w:rPr>
        <w:footnoteRef/>
      </w:r>
      <w:r>
        <w:t xml:space="preserve"> </w:t>
      </w:r>
      <w:r>
        <w:tab/>
        <w:t>FDCS (2026), written input, p. 20.</w:t>
      </w:r>
    </w:p>
  </w:footnote>
  <w:footnote w:id="169">
    <w:p w14:paraId="2FA44939" w14:textId="3CC05648" w:rsidR="003D13B0" w:rsidRPr="006255F4" w:rsidRDefault="003D13B0" w:rsidP="003D13B0">
      <w:pPr>
        <w:pStyle w:val="FootnoteText"/>
      </w:pPr>
      <w:r>
        <w:rPr>
          <w:rStyle w:val="FootnoteReference"/>
        </w:rPr>
        <w:footnoteRef/>
      </w:r>
      <w:r>
        <w:t xml:space="preserve"> </w:t>
      </w:r>
      <w:r>
        <w:tab/>
      </w:r>
      <w:r>
        <w:rPr>
          <w:lang w:val="en-IE"/>
        </w:rPr>
        <w:t>ENNHRI(2026) Romania country report</w:t>
      </w:r>
      <w:r w:rsidR="0085748C">
        <w:rPr>
          <w:lang w:val="en-IE"/>
        </w:rPr>
        <w:t>, p. 15</w:t>
      </w:r>
      <w:r>
        <w:rPr>
          <w:lang w:val="en-IE"/>
        </w:rPr>
        <w:t>. Nor are LGBTI organisations: ILGA (2026), written input, p. 18.</w:t>
      </w:r>
    </w:p>
  </w:footnote>
  <w:footnote w:id="170">
    <w:p w14:paraId="4C99CC19" w14:textId="494149B7" w:rsidR="003D13B0" w:rsidRPr="0029026C" w:rsidRDefault="003D13B0" w:rsidP="003D13B0">
      <w:pPr>
        <w:pStyle w:val="FootnoteText"/>
      </w:pPr>
      <w:r>
        <w:rPr>
          <w:rStyle w:val="FootnoteReference"/>
        </w:rPr>
        <w:footnoteRef/>
      </w:r>
      <w:r>
        <w:t xml:space="preserve"> </w:t>
      </w:r>
      <w:r>
        <w:tab/>
        <w:t xml:space="preserve">On this aspect, see also OECD(2026), Report on Romania, which draws attention </w:t>
      </w:r>
      <w:r w:rsidRPr="00FF1567">
        <w:t>to the high frequency with which legislation is adopted</w:t>
      </w:r>
      <w:r>
        <w:t xml:space="preserve">. </w:t>
      </w:r>
      <w:r w:rsidRPr="002035A4">
        <w:t>As a result, investors and the business</w:t>
      </w:r>
      <w:r>
        <w:t>es would</w:t>
      </w:r>
      <w:r w:rsidRPr="002035A4">
        <w:t xml:space="preserve"> face a high level of uncertainty, which </w:t>
      </w:r>
      <w:r>
        <w:t>would</w:t>
      </w:r>
      <w:r w:rsidRPr="002035A4">
        <w:t xml:space="preserve"> discourage long-term decisions.</w:t>
      </w:r>
      <w:r>
        <w:t xml:space="preserve"> See also result of the consultation of judges, which mention the legislative instability as their second concern after the high </w:t>
      </w:r>
      <w:r w:rsidRPr="00EC798C">
        <w:t>workload, in fn. 44.</w:t>
      </w:r>
      <w:r>
        <w:t xml:space="preserve"> FRA(2026)</w:t>
      </w:r>
      <w:r w:rsidR="003452CF">
        <w:t>, written input, p. 273</w:t>
      </w:r>
      <w:r>
        <w:t xml:space="preserve"> and Konrad Adenauer Stiftung (2025).</w:t>
      </w:r>
    </w:p>
  </w:footnote>
  <w:footnote w:id="171">
    <w:p w14:paraId="4337C45B" w14:textId="77777777" w:rsidR="003D13B0" w:rsidRPr="005B53AD" w:rsidRDefault="003D13B0" w:rsidP="003D13B0">
      <w:pPr>
        <w:pStyle w:val="FootnoteText"/>
      </w:pPr>
      <w:r>
        <w:rPr>
          <w:rStyle w:val="FootnoteReference"/>
        </w:rPr>
        <w:footnoteRef/>
      </w:r>
      <w:r>
        <w:t xml:space="preserve"> </w:t>
      </w:r>
      <w:r>
        <w:tab/>
        <w:t>The Romanian Fiscal Code would be the most amended law, with at least one amending law per month.</w:t>
      </w:r>
    </w:p>
  </w:footnote>
  <w:footnote w:id="172">
    <w:p w14:paraId="4D74B8C4" w14:textId="77777777" w:rsidR="003D13B0" w:rsidRPr="00241834" w:rsidRDefault="003D13B0" w:rsidP="003D13B0">
      <w:pPr>
        <w:pStyle w:val="FootnoteText"/>
        <w:rPr>
          <w:lang w:val="en-IE"/>
        </w:rPr>
      </w:pPr>
      <w:r>
        <w:rPr>
          <w:rStyle w:val="FootnoteReference"/>
        </w:rPr>
        <w:footnoteRef/>
      </w:r>
      <w:r>
        <w:t xml:space="preserve"> </w:t>
      </w:r>
      <w:r>
        <w:tab/>
        <w:t xml:space="preserve">Foreign Investors’ Council Romania (2026) written input, p. 1. Concordia, </w:t>
      </w:r>
      <w:r w:rsidRPr="0018393A">
        <w:t>CNIPMMR</w:t>
      </w:r>
      <w:r>
        <w:t xml:space="preserve"> and Romanian Business Leaders (2026), written input to European Semester. Country visit Romania, Romanian Business Leaders and Concordia. See also FDCS, written input, p. 21 and American Chamber Romania 2025 Business Climate Survey. </w:t>
      </w:r>
      <w:r w:rsidRPr="00BB48FF">
        <w:rPr>
          <w:lang w:val="en-IE"/>
        </w:rPr>
        <w:t>Co</w:t>
      </w:r>
      <w:r>
        <w:rPr>
          <w:lang w:val="en-IE"/>
        </w:rPr>
        <w:t>untry visit Romania, Apador-CH, Public Innovation, PressHub, Freedom House, Funky Citizens, Civic Radauti, Expert Forum, FDSC.</w:t>
      </w:r>
    </w:p>
  </w:footnote>
  <w:footnote w:id="173">
    <w:p w14:paraId="11E10BA7" w14:textId="77777777" w:rsidR="003D13B0" w:rsidRPr="00BD369B" w:rsidRDefault="003D13B0" w:rsidP="003D13B0">
      <w:pPr>
        <w:pStyle w:val="FootnoteText"/>
      </w:pPr>
      <w:r>
        <w:rPr>
          <w:rStyle w:val="FootnoteReference"/>
        </w:rPr>
        <w:footnoteRef/>
      </w:r>
      <w:r>
        <w:t xml:space="preserve"> </w:t>
      </w:r>
      <w:r>
        <w:tab/>
        <w:t>Resource Centre for Public Participation and Coalition NGOs for Citizens (2026), written input, p. 19.</w:t>
      </w:r>
    </w:p>
  </w:footnote>
  <w:footnote w:id="174">
    <w:p w14:paraId="0188ADFC" w14:textId="77777777" w:rsidR="003D13B0" w:rsidRPr="00E06238" w:rsidRDefault="003D13B0" w:rsidP="003D13B0">
      <w:pPr>
        <w:pStyle w:val="FootnoteText"/>
        <w:rPr>
          <w:lang w:val="en-IE"/>
        </w:rPr>
      </w:pPr>
      <w:r>
        <w:rPr>
          <w:rStyle w:val="FootnoteReference"/>
        </w:rPr>
        <w:footnoteRef/>
      </w:r>
      <w:r>
        <w:t xml:space="preserve"> </w:t>
      </w:r>
      <w:r>
        <w:tab/>
      </w:r>
      <w:r>
        <w:rPr>
          <w:lang w:val="en-IE"/>
        </w:rPr>
        <w:t>P</w:t>
      </w:r>
      <w:r w:rsidRPr="00E06238">
        <w:rPr>
          <w:lang w:val="en-IE"/>
        </w:rPr>
        <w:t>ending drafts automatically transit to the next legislature.</w:t>
      </w:r>
      <w:r>
        <w:rPr>
          <w:lang w:val="en-IE"/>
        </w:rPr>
        <w:t xml:space="preserve"> Country visit, CSOs, FRA(2026) and </w:t>
      </w:r>
      <w:r>
        <w:t>Konrad Adenauer Stiftung (2025).</w:t>
      </w:r>
    </w:p>
  </w:footnote>
  <w:footnote w:id="175">
    <w:p w14:paraId="73874561" w14:textId="7AF34DE8" w:rsidR="003D13B0" w:rsidRPr="0022271F" w:rsidRDefault="003D13B0" w:rsidP="003D13B0">
      <w:pPr>
        <w:pStyle w:val="FootnoteText"/>
      </w:pPr>
      <w:r w:rsidRPr="00A400B3">
        <w:rPr>
          <w:rStyle w:val="FootnoteReference"/>
        </w:rPr>
        <w:footnoteRef/>
      </w:r>
      <w:r w:rsidRPr="00A400B3">
        <w:t xml:space="preserve"> </w:t>
      </w:r>
      <w:r w:rsidRPr="00A400B3">
        <w:rPr>
          <w:lang w:val="en-IE"/>
        </w:rPr>
        <w:tab/>
      </w:r>
      <w:r w:rsidR="00091033">
        <w:t>F</w:t>
      </w:r>
      <w:r w:rsidRPr="0022271F">
        <w:t>igures published by the Chamber of Deputies</w:t>
      </w:r>
      <w:r w:rsidR="00984C20">
        <w:t>.</w:t>
      </w:r>
    </w:p>
    <w:p w14:paraId="277D9A38" w14:textId="21D5AABE" w:rsidR="003D13B0" w:rsidRPr="00AA209C" w:rsidRDefault="003D13B0" w:rsidP="003D13B0">
      <w:pPr>
        <w:pStyle w:val="FootnoteText"/>
        <w:ind w:firstLine="0"/>
        <w:rPr>
          <w:lang w:val="en-IE"/>
        </w:rPr>
      </w:pPr>
      <w:r w:rsidRPr="0022271F">
        <w:rPr>
          <w:lang w:val="en-IE"/>
        </w:rPr>
        <w:t>In 2025, 248 laws were adopted by the Parliament and promulgated by the President of Romania. Out of them: 92 were laws for the approval of emergency ordinances (37%); 23 were laws for the approval of simple ordinances (9%); 6 were laws for amending and supplementing the government's emergency ordinances; 2 were laws for empowering the government to issue ordinances; 1 was a law rejecting an emergency ordinance. The only difference between GEOs and other ordinances is that the latter are adopted when the Parliament is not in session.</w:t>
      </w:r>
      <w:r>
        <w:rPr>
          <w:lang w:val="en-IE"/>
        </w:rPr>
        <w:t xml:space="preserve"> </w:t>
      </w:r>
    </w:p>
  </w:footnote>
  <w:footnote w:id="176">
    <w:p w14:paraId="18921EA7" w14:textId="77777777" w:rsidR="003D13B0" w:rsidRPr="00D67681" w:rsidRDefault="003D13B0" w:rsidP="003D13B0">
      <w:pPr>
        <w:pStyle w:val="FootnoteText"/>
        <w:rPr>
          <w:lang w:val="en-IE"/>
        </w:rPr>
      </w:pPr>
      <w:r>
        <w:rPr>
          <w:rStyle w:val="FootnoteReference"/>
        </w:rPr>
        <w:footnoteRef/>
      </w:r>
      <w:r w:rsidRPr="00EE4F16">
        <w:rPr>
          <w:lang w:val="de-DE"/>
        </w:rPr>
        <w:t xml:space="preserve"> </w:t>
      </w:r>
      <w:r w:rsidRPr="00EE4F16">
        <w:rPr>
          <w:lang w:val="de-DE"/>
        </w:rPr>
        <w:tab/>
        <w:t>Konrad Adenauer Stiftung (2026), written input p. 2.</w:t>
      </w:r>
      <w:r>
        <w:rPr>
          <w:lang w:val="de-DE"/>
        </w:rPr>
        <w:t xml:space="preserve"> </w:t>
      </w:r>
      <w:r w:rsidRPr="00D67681">
        <w:rPr>
          <w:lang w:val="en-IE"/>
        </w:rPr>
        <w:t>Liberties (2026), written input, p. 28.</w:t>
      </w:r>
      <w:r>
        <w:rPr>
          <w:lang w:val="en-IE"/>
        </w:rPr>
        <w:t xml:space="preserve"> Centre for Public Innovation (2026), written input, p. 17.</w:t>
      </w:r>
    </w:p>
  </w:footnote>
  <w:footnote w:id="177">
    <w:p w14:paraId="38AEAB02" w14:textId="17D02521" w:rsidR="003D13B0" w:rsidRPr="00D21A7A" w:rsidRDefault="003D13B0" w:rsidP="003D13B0">
      <w:pPr>
        <w:pStyle w:val="FootnoteText"/>
        <w:rPr>
          <w:lang w:val="en-IE"/>
        </w:rPr>
      </w:pPr>
      <w:r>
        <w:rPr>
          <w:rStyle w:val="FootnoteReference"/>
        </w:rPr>
        <w:footnoteRef/>
      </w:r>
      <w:r>
        <w:t xml:space="preserve"> </w:t>
      </w:r>
      <w:r>
        <w:tab/>
        <w:t>Romanian Government (2026</w:t>
      </w:r>
      <w:r w:rsidR="00530327">
        <w:t>a</w:t>
      </w:r>
      <w:r>
        <w:t xml:space="preserve">), written input to the 2026 European </w:t>
      </w:r>
      <w:r w:rsidRPr="00E96AA3">
        <w:t>Semester.</w:t>
      </w:r>
    </w:p>
  </w:footnote>
  <w:footnote w:id="178">
    <w:p w14:paraId="1FE34A5D" w14:textId="38DF1C8D" w:rsidR="003D13B0" w:rsidRPr="00E107BF" w:rsidRDefault="003D13B0" w:rsidP="003D13B0">
      <w:pPr>
        <w:pStyle w:val="FootnoteText"/>
      </w:pPr>
      <w:r w:rsidRPr="00056F1D">
        <w:rPr>
          <w:rStyle w:val="FootnoteReference"/>
        </w:rPr>
        <w:footnoteRef/>
      </w:r>
      <w:r w:rsidRPr="000F2F57">
        <w:t xml:space="preserve"> </w:t>
      </w:r>
      <w:r w:rsidRPr="000F2F57">
        <w:tab/>
        <w:t>Figure</w:t>
      </w:r>
      <w:r>
        <w:t>s</w:t>
      </w:r>
      <w:r w:rsidRPr="000F2F57">
        <w:t xml:space="preserve"> </w:t>
      </w:r>
      <w:r>
        <w:t>52 and 53</w:t>
      </w:r>
      <w:r w:rsidRPr="000F2F57">
        <w:t>, 202</w:t>
      </w:r>
      <w:r>
        <w:t>6</w:t>
      </w:r>
      <w:r w:rsidRPr="000F2F57">
        <w:t xml:space="preserve"> EU Justice Scoreboard</w:t>
      </w:r>
      <w:r w:rsidRPr="000F2F57">
        <w:rPr>
          <w:lang w:eastAsia="fr-FR"/>
        </w:rPr>
        <w:t xml:space="preserve">. </w:t>
      </w:r>
      <w:r>
        <w:rPr>
          <w:lang w:eastAsia="fr-FR"/>
        </w:rPr>
        <w:t xml:space="preserve">34% and 22% </w:t>
      </w:r>
      <w:r w:rsidRPr="00591976">
        <w:t>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rsidRPr="00591976">
        <w:t>.</w:t>
      </w:r>
    </w:p>
  </w:footnote>
  <w:footnote w:id="179">
    <w:p w14:paraId="6DA89511" w14:textId="7D6F9062" w:rsidR="003D13B0" w:rsidRPr="003B29EE" w:rsidRDefault="003D13B0" w:rsidP="003D13B0">
      <w:pPr>
        <w:pStyle w:val="FootnoteText"/>
      </w:pPr>
      <w:r w:rsidRPr="00056F1D">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p>
  </w:footnote>
  <w:footnote w:id="180">
    <w:p w14:paraId="776BB1B9" w14:textId="77777777" w:rsidR="003D13B0" w:rsidRPr="00866ABA" w:rsidRDefault="003D13B0" w:rsidP="003D13B0">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81">
    <w:p w14:paraId="798DEC7B" w14:textId="77777777" w:rsidR="003D13B0" w:rsidRPr="002524F6" w:rsidRDefault="003D13B0" w:rsidP="003D13B0">
      <w:pPr>
        <w:pStyle w:val="FootnoteText"/>
        <w:rPr>
          <w:lang w:val="en-IE"/>
        </w:rPr>
      </w:pPr>
      <w:r>
        <w:rPr>
          <w:rStyle w:val="FootnoteReference"/>
        </w:rPr>
        <w:footnoteRef/>
      </w:r>
      <w:r>
        <w:t xml:space="preserve"> </w:t>
      </w:r>
      <w:r w:rsidRPr="002524F6">
        <w:rPr>
          <w:lang w:val="en-IE"/>
        </w:rPr>
        <w:tab/>
      </w:r>
      <w:r w:rsidRPr="005E1745">
        <w:t>The 2025 Rule of Law Report recommended Romania to</w:t>
      </w:r>
      <w:r>
        <w:t xml:space="preserve"> “t</w:t>
      </w:r>
      <w:r w:rsidRPr="004D0BF0">
        <w:t>ake forward the process for obtaining accreditation for the National Human Rights Institutions, taking into account the UN Paris Principles</w:t>
      </w:r>
      <w:r>
        <w:t>”</w:t>
      </w:r>
      <w:r w:rsidRPr="004D0BF0">
        <w:t>.</w:t>
      </w:r>
      <w:r>
        <w:t xml:space="preserve"> While some progress was assessed on this recommendation in 2024, there was no progress in 2023 nor 2025.</w:t>
      </w:r>
    </w:p>
  </w:footnote>
  <w:footnote w:id="182">
    <w:p w14:paraId="54B628A3" w14:textId="77777777" w:rsidR="003D13B0" w:rsidRPr="009A47CF" w:rsidRDefault="003D13B0" w:rsidP="003D13B0">
      <w:pPr>
        <w:pStyle w:val="FootnoteText"/>
      </w:pPr>
      <w:r>
        <w:rPr>
          <w:rStyle w:val="FootnoteReference"/>
        </w:rPr>
        <w:footnoteRef/>
      </w:r>
      <w:r>
        <w:t xml:space="preserve"> </w:t>
      </w:r>
      <w:r>
        <w:tab/>
      </w:r>
      <w:r>
        <w:rPr>
          <w:lang w:val="en-IE"/>
        </w:rPr>
        <w:t>Global Alliance of National Human Rights Institutions.</w:t>
      </w:r>
    </w:p>
  </w:footnote>
  <w:footnote w:id="183">
    <w:p w14:paraId="6B41DC17" w14:textId="77777777" w:rsidR="003D13B0" w:rsidRPr="00D21A7A" w:rsidRDefault="003D13B0" w:rsidP="003D13B0">
      <w:pPr>
        <w:pStyle w:val="FootnoteText"/>
        <w:rPr>
          <w:lang w:val="en-IE"/>
        </w:rPr>
      </w:pPr>
      <w:r>
        <w:rPr>
          <w:rStyle w:val="FootnoteReference"/>
        </w:rPr>
        <w:footnoteRef/>
      </w:r>
      <w:r>
        <w:t xml:space="preserve"> </w:t>
      </w:r>
      <w:r>
        <w:tab/>
      </w:r>
      <w:r w:rsidRPr="006D408B">
        <w:rPr>
          <w:lang w:val="en-IE"/>
        </w:rPr>
        <w:t>2025 Rule of Law Report,</w:t>
      </w:r>
      <w:r>
        <w:rPr>
          <w:lang w:val="en-IE"/>
        </w:rPr>
        <w:t xml:space="preserve"> Romania, pp. 17-18. So far, the same Member State can have several NHRIs when they cover different geographical areas (e.g. NHRIs for different regions). The novelty with Romania is that the 2 NHRIs would cover the same geographical area i.e. the whole territory of Romania.</w:t>
      </w:r>
    </w:p>
  </w:footnote>
  <w:footnote w:id="184">
    <w:p w14:paraId="58A54741" w14:textId="0657BFB9" w:rsidR="003D13B0" w:rsidRPr="00A640FC" w:rsidRDefault="003D13B0" w:rsidP="003D13B0">
      <w:pPr>
        <w:pStyle w:val="FootnoteText"/>
        <w:rPr>
          <w:lang w:val="en-IE"/>
        </w:rPr>
      </w:pPr>
      <w:r>
        <w:rPr>
          <w:rStyle w:val="FootnoteReference"/>
        </w:rPr>
        <w:footnoteRef/>
      </w:r>
      <w:r>
        <w:t xml:space="preserve"> </w:t>
      </w:r>
      <w:r w:rsidRPr="00A640FC">
        <w:rPr>
          <w:lang w:val="en-IE"/>
        </w:rPr>
        <w:tab/>
        <w:t>Lib</w:t>
      </w:r>
      <w:r>
        <w:rPr>
          <w:lang w:val="en-IE"/>
        </w:rPr>
        <w:t>erties (2026), written input, p. 29. ENNHRI(2026) Romania country report</w:t>
      </w:r>
      <w:r w:rsidR="00863467">
        <w:rPr>
          <w:lang w:val="en-IE"/>
        </w:rPr>
        <w:t>, p</w:t>
      </w:r>
      <w:r w:rsidR="00E15289">
        <w:rPr>
          <w:lang w:val="en-IE"/>
        </w:rPr>
        <w:t>p</w:t>
      </w:r>
      <w:r w:rsidR="00863467">
        <w:rPr>
          <w:lang w:val="en-IE"/>
        </w:rPr>
        <w:t xml:space="preserve">. </w:t>
      </w:r>
      <w:r w:rsidR="00E15289">
        <w:rPr>
          <w:lang w:val="en-IE"/>
        </w:rPr>
        <w:t>4</w:t>
      </w:r>
      <w:r w:rsidR="00251F45">
        <w:rPr>
          <w:lang w:val="en-IE"/>
        </w:rPr>
        <w:t>-</w:t>
      </w:r>
      <w:r w:rsidR="00E15289">
        <w:rPr>
          <w:lang w:val="en-IE"/>
        </w:rPr>
        <w:t>5</w:t>
      </w:r>
      <w:r>
        <w:rPr>
          <w:lang w:val="en-IE"/>
        </w:rPr>
        <w:t xml:space="preserve"> and its corresponding recommendations to Romania. FRA(2026)</w:t>
      </w:r>
      <w:r w:rsidR="00000CC9">
        <w:rPr>
          <w:lang w:val="en-IE"/>
        </w:rPr>
        <w:t>, written input, p. 272</w:t>
      </w:r>
      <w:r>
        <w:rPr>
          <w:lang w:val="en-IE"/>
        </w:rPr>
        <w:t xml:space="preserve">. See also </w:t>
      </w:r>
      <w:r w:rsidRPr="006D408B">
        <w:rPr>
          <w:lang w:val="en-IE"/>
        </w:rPr>
        <w:t>2025 Rule of Law Report,</w:t>
      </w:r>
      <w:r>
        <w:rPr>
          <w:lang w:val="en-IE"/>
        </w:rPr>
        <w:t xml:space="preserve"> Romania, pp. 17-18.</w:t>
      </w:r>
    </w:p>
  </w:footnote>
  <w:footnote w:id="185">
    <w:p w14:paraId="57AB6DD7" w14:textId="77777777" w:rsidR="003D13B0" w:rsidRPr="00011750" w:rsidRDefault="003D13B0" w:rsidP="003D13B0">
      <w:pPr>
        <w:pStyle w:val="FootnoteText"/>
      </w:pPr>
      <w:r>
        <w:rPr>
          <w:rStyle w:val="FootnoteReference"/>
        </w:rPr>
        <w:footnoteRef/>
      </w:r>
      <w:r>
        <w:t xml:space="preserve"> </w:t>
      </w:r>
      <w:r>
        <w:tab/>
        <w:t>Ibidem.</w:t>
      </w:r>
    </w:p>
  </w:footnote>
  <w:footnote w:id="186">
    <w:p w14:paraId="66A1BA27" w14:textId="77777777" w:rsidR="003D13B0" w:rsidRPr="00547638" w:rsidRDefault="003D13B0" w:rsidP="003D13B0">
      <w:pPr>
        <w:pStyle w:val="FootnoteText"/>
      </w:pPr>
      <w:r>
        <w:rPr>
          <w:rStyle w:val="FootnoteReference"/>
        </w:rPr>
        <w:footnoteRef/>
      </w:r>
      <w:r>
        <w:t xml:space="preserve"> </w:t>
      </w:r>
      <w:r>
        <w:tab/>
        <w:t>National Council for Combating Discrimination.</w:t>
      </w:r>
    </w:p>
  </w:footnote>
  <w:footnote w:id="187">
    <w:p w14:paraId="656F5D55" w14:textId="77777777" w:rsidR="003D13B0" w:rsidRPr="008842FC" w:rsidRDefault="003D13B0" w:rsidP="003D13B0">
      <w:pPr>
        <w:pStyle w:val="FootnoteText"/>
      </w:pPr>
      <w:r>
        <w:rPr>
          <w:rStyle w:val="FootnoteReference"/>
        </w:rPr>
        <w:footnoteRef/>
      </w:r>
      <w:r>
        <w:t xml:space="preserve"> </w:t>
      </w:r>
      <w:r>
        <w:tab/>
        <w:t xml:space="preserve">Centre for Public Innovation (2026), written input, p. 18. </w:t>
      </w:r>
      <w:r w:rsidRPr="009D3162">
        <w:t>Concerns have been raised as to the increased potential risk that the lack of secure tenure accentuates the potential political influence over decisions of some of these authorities</w:t>
      </w:r>
      <w:r>
        <w:t>.</w:t>
      </w:r>
    </w:p>
  </w:footnote>
  <w:footnote w:id="188">
    <w:p w14:paraId="7C5C66AF" w14:textId="4462C3E8" w:rsidR="003D13B0" w:rsidRPr="00715D1C" w:rsidRDefault="003D13B0" w:rsidP="003D13B0">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3" w:history="1">
        <w:r w:rsidRPr="00101918">
          <w:rPr>
            <w:rStyle w:val="Hyperlink"/>
          </w:rPr>
          <w:t>website</w:t>
        </w:r>
      </w:hyperlink>
      <w:r w:rsidRPr="00101918">
        <w:t xml:space="preserve"> of the Council of Europe.</w:t>
      </w:r>
    </w:p>
  </w:footnote>
  <w:footnote w:id="189">
    <w:p w14:paraId="7FDC3B7C" w14:textId="77777777" w:rsidR="003D13B0" w:rsidRPr="00715D1C" w:rsidRDefault="003D13B0" w:rsidP="003D13B0">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8</w:t>
      </w:r>
      <w:r w:rsidRPr="00715D1C">
        <w:t>.</w:t>
      </w:r>
    </w:p>
  </w:footnote>
  <w:footnote w:id="190">
    <w:p w14:paraId="3EE30440" w14:textId="24D79202" w:rsidR="003D13B0" w:rsidRPr="00715D1C" w:rsidRDefault="003D13B0" w:rsidP="003D13B0">
      <w:pPr>
        <w:pStyle w:val="FootnoteText"/>
      </w:pPr>
      <w:r w:rsidRPr="00715D1C">
        <w:rPr>
          <w:rStyle w:val="FootnoteReference"/>
        </w:rPr>
        <w:footnoteRef/>
      </w:r>
      <w:r w:rsidRPr="00715D1C">
        <w:t xml:space="preserve"> </w:t>
      </w:r>
      <w:r>
        <w:tab/>
      </w:r>
      <w:r w:rsidRPr="00364EA5">
        <w:t>Judgment of the ECtHR,</w:t>
      </w:r>
      <w:r>
        <w:t xml:space="preserve"> </w:t>
      </w:r>
      <w:r w:rsidR="00191F87" w:rsidRPr="00191F87">
        <w:t>30767/05</w:t>
      </w:r>
      <w:r>
        <w:t>,</w:t>
      </w:r>
      <w:r w:rsidR="007C1881">
        <w:t xml:space="preserve"> </w:t>
      </w:r>
      <w:r w:rsidR="007C1881" w:rsidRPr="00D00FF2">
        <w:rPr>
          <w:i/>
          <w:iCs/>
        </w:rPr>
        <w:t>Maria Atanasiu and others</w:t>
      </w:r>
      <w:r w:rsidR="00191F87">
        <w:t xml:space="preserve"> </w:t>
      </w:r>
      <w:r w:rsidRPr="00364EA5">
        <w:rPr>
          <w:i/>
          <w:iCs/>
        </w:rPr>
        <w:t>v. Romania</w:t>
      </w:r>
      <w:r w:rsidRPr="00364EA5">
        <w:t xml:space="preserve">, pending implementation </w:t>
      </w:r>
      <w:r w:rsidRPr="00602EF0">
        <w:t xml:space="preserve">since </w:t>
      </w:r>
      <w:r w:rsidR="00A807BC" w:rsidRPr="00602EF0">
        <w:t>20</w:t>
      </w:r>
      <w:r w:rsidR="00A807BC">
        <w:t>10</w:t>
      </w:r>
      <w:r w:rsidRPr="00602EF0">
        <w:t>.</w:t>
      </w:r>
    </w:p>
  </w:footnote>
  <w:footnote w:id="191">
    <w:p w14:paraId="2626DD00" w14:textId="77777777" w:rsidR="003D13B0" w:rsidRPr="00602EF0" w:rsidRDefault="003D13B0" w:rsidP="003D13B0">
      <w:pPr>
        <w:pStyle w:val="FootnoteText"/>
        <w:rPr>
          <w:lang w:val="en-IE"/>
        </w:rPr>
      </w:pPr>
      <w:r>
        <w:rPr>
          <w:rStyle w:val="FootnoteReference"/>
        </w:rPr>
        <w:footnoteRef/>
      </w:r>
      <w:r>
        <w:t xml:space="preserve"> </w:t>
      </w:r>
      <w:r>
        <w:tab/>
        <w:t xml:space="preserve">Council of Europe (2026), p. 163. See also </w:t>
      </w:r>
      <w:r w:rsidRPr="00133E6A">
        <w:rPr>
          <w:lang w:val="en-IE"/>
        </w:rPr>
        <w:t xml:space="preserve">the </w:t>
      </w:r>
      <w:r>
        <w:rPr>
          <w:lang w:val="en-IE"/>
        </w:rPr>
        <w:t xml:space="preserve">December </w:t>
      </w:r>
      <w:r w:rsidRPr="00133E6A">
        <w:rPr>
          <w:lang w:val="en-IE"/>
        </w:rPr>
        <w:t>2025 Council of Europe report</w:t>
      </w:r>
      <w:r>
        <w:rPr>
          <w:lang w:val="en-IE"/>
        </w:rPr>
        <w:t>, which</w:t>
      </w:r>
      <w:r w:rsidRPr="00133E6A">
        <w:rPr>
          <w:lang w:val="en-IE"/>
        </w:rPr>
        <w:t xml:space="preserve"> emphasizes</w:t>
      </w:r>
      <w:r>
        <w:rPr>
          <w:lang w:val="en-IE"/>
        </w:rPr>
        <w:t xml:space="preserve"> </w:t>
      </w:r>
      <w:r w:rsidRPr="00133E6A">
        <w:rPr>
          <w:lang w:val="en-IE"/>
        </w:rPr>
        <w:t>that Romania continues to face serious unresolved structural problems in the execution of ECtHR</w:t>
      </w:r>
      <w:r>
        <w:rPr>
          <w:lang w:val="en-IE"/>
        </w:rPr>
        <w:t xml:space="preserve"> </w:t>
      </w:r>
      <w:r w:rsidRPr="00133E6A">
        <w:rPr>
          <w:lang w:val="en-IE"/>
        </w:rPr>
        <w:t>judgments, despite legislative and policy reforms.</w:t>
      </w:r>
    </w:p>
  </w:footnote>
  <w:footnote w:id="192">
    <w:p w14:paraId="3BF902FF" w14:textId="77777777" w:rsidR="003D13B0" w:rsidRPr="00715D1C" w:rsidRDefault="003D13B0" w:rsidP="003D13B0">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93">
    <w:p w14:paraId="5AF4BABD" w14:textId="6CE798E3" w:rsidR="003D13B0" w:rsidRPr="00CF11D8" w:rsidRDefault="003D13B0" w:rsidP="003D13B0">
      <w:pPr>
        <w:pStyle w:val="FootnoteText"/>
      </w:pPr>
      <w:r>
        <w:rPr>
          <w:rStyle w:val="FootnoteReference"/>
        </w:rPr>
        <w:footnoteRef/>
      </w:r>
      <w:r>
        <w:t xml:space="preserve"> </w:t>
      </w:r>
      <w:r>
        <w:tab/>
      </w:r>
      <w:r w:rsidR="001D58AA">
        <w:t>Romania’s score is 61/100</w:t>
      </w:r>
      <w:r w:rsidR="005F20CB">
        <w:t>. R</w:t>
      </w:r>
      <w:r w:rsidRPr="00FA6ED0">
        <w:t>atings</w:t>
      </w:r>
      <w:r w:rsidR="005F20CB">
        <w:t xml:space="preserve"> by Civicus</w:t>
      </w:r>
      <w:r w:rsidRPr="00FA6ED0">
        <w:t xml:space="preserve"> are on a five-category scale defined as: open, narrowed, obstructed, repressed and closed.</w:t>
      </w:r>
      <w:r>
        <w:t xml:space="preserve"> </w:t>
      </w:r>
    </w:p>
  </w:footnote>
  <w:footnote w:id="194">
    <w:p w14:paraId="79ACD726" w14:textId="74F51A57" w:rsidR="003D13B0" w:rsidRPr="00FC7BBB" w:rsidRDefault="003D13B0" w:rsidP="003D13B0">
      <w:pPr>
        <w:pStyle w:val="FootnoteText"/>
        <w:rPr>
          <w:lang w:val="en-IE"/>
        </w:rPr>
      </w:pPr>
      <w:r>
        <w:rPr>
          <w:rStyle w:val="FootnoteReference"/>
        </w:rPr>
        <w:footnoteRef/>
      </w:r>
      <w:r w:rsidRPr="00D25550">
        <w:rPr>
          <w:lang w:val="en-IE"/>
        </w:rPr>
        <w:t xml:space="preserve"> </w:t>
      </w:r>
      <w:r w:rsidRPr="006638CA">
        <w:rPr>
          <w:lang w:val="en-IE"/>
        </w:rPr>
        <w:tab/>
        <w:t>Civicus, Romania (2025), ENNHRI(2026)</w:t>
      </w:r>
      <w:r w:rsidR="00C25C47" w:rsidRPr="006638CA">
        <w:rPr>
          <w:lang w:val="en-IE"/>
        </w:rPr>
        <w:t>, p.</w:t>
      </w:r>
      <w:r w:rsidR="00660926" w:rsidRPr="006638CA">
        <w:rPr>
          <w:lang w:val="en-IE"/>
        </w:rPr>
        <w:t xml:space="preserve"> 7</w:t>
      </w:r>
      <w:r w:rsidRPr="006638CA">
        <w:rPr>
          <w:lang w:val="en-IE"/>
        </w:rPr>
        <w:t>; FRA(2026)</w:t>
      </w:r>
      <w:r w:rsidR="001F41B2" w:rsidRPr="00D25550">
        <w:rPr>
          <w:lang w:val="en-IE"/>
        </w:rPr>
        <w:t>, written input, pp. 267-268</w:t>
      </w:r>
      <w:r w:rsidRPr="006638CA">
        <w:rPr>
          <w:lang w:val="en-IE"/>
        </w:rPr>
        <w:t>.</w:t>
      </w:r>
      <w:r w:rsidRPr="00D25550">
        <w:rPr>
          <w:lang w:val="en-IE"/>
        </w:rPr>
        <w:t xml:space="preserve"> </w:t>
      </w:r>
      <w:r>
        <w:t xml:space="preserve">Resource Centre for Public Participation and Coalition NGOs for Citizens (2026), written input, p. 22. </w:t>
      </w:r>
      <w:r w:rsidRPr="00F3054D">
        <w:rPr>
          <w:lang w:val="en-IE"/>
        </w:rPr>
        <w:t>Intimidation actions consist of claims for damages,</w:t>
      </w:r>
      <w:r>
        <w:rPr>
          <w:lang w:val="en-IE"/>
        </w:rPr>
        <w:t xml:space="preserve"> </w:t>
      </w:r>
      <w:r w:rsidRPr="00F3054D">
        <w:rPr>
          <w:lang w:val="en-IE"/>
        </w:rPr>
        <w:t>the incurring and subsequent recovery of huge legal costs, demands for the dissolution or even requests for</w:t>
      </w:r>
      <w:r>
        <w:rPr>
          <w:lang w:val="en-IE"/>
        </w:rPr>
        <w:t xml:space="preserve"> </w:t>
      </w:r>
      <w:r w:rsidRPr="00F3054D">
        <w:rPr>
          <w:lang w:val="en-IE"/>
        </w:rPr>
        <w:t>criminal prosecution.</w:t>
      </w:r>
    </w:p>
  </w:footnote>
  <w:footnote w:id="195">
    <w:p w14:paraId="76C6BB9F" w14:textId="31A2444F" w:rsidR="003D13B0" w:rsidRPr="00D019F1" w:rsidRDefault="003D13B0" w:rsidP="003D13B0">
      <w:pPr>
        <w:pStyle w:val="FootnoteText"/>
        <w:rPr>
          <w:lang w:val="en-IE"/>
        </w:rPr>
      </w:pPr>
      <w:r>
        <w:rPr>
          <w:rStyle w:val="FootnoteReference"/>
        </w:rPr>
        <w:footnoteRef/>
      </w:r>
      <w:r>
        <w:t xml:space="preserve"> </w:t>
      </w:r>
      <w:r>
        <w:tab/>
      </w:r>
      <w:r>
        <w:rPr>
          <w:lang w:val="en-IE"/>
        </w:rPr>
        <w:t>ENNHRI(2026),</w:t>
      </w:r>
      <w:r w:rsidR="003D1E17">
        <w:rPr>
          <w:lang w:val="en-IE"/>
        </w:rPr>
        <w:t xml:space="preserve"> p</w:t>
      </w:r>
      <w:r w:rsidR="000C65F9">
        <w:rPr>
          <w:lang w:val="en-IE"/>
        </w:rPr>
        <w:t>p</w:t>
      </w:r>
      <w:r w:rsidR="003D1E17">
        <w:rPr>
          <w:lang w:val="en-IE"/>
        </w:rPr>
        <w:t>.</w:t>
      </w:r>
      <w:r w:rsidR="000C65F9">
        <w:rPr>
          <w:lang w:val="en-IE"/>
        </w:rPr>
        <w:t xml:space="preserve"> 6–7 and its</w:t>
      </w:r>
      <w:r>
        <w:rPr>
          <w:lang w:val="en-IE"/>
        </w:rPr>
        <w:t xml:space="preserve"> corresponding recommendations; and tracking by the RIHR.</w:t>
      </w:r>
    </w:p>
  </w:footnote>
  <w:footnote w:id="196">
    <w:p w14:paraId="4118B57A" w14:textId="2221E8AF" w:rsidR="003D13B0" w:rsidRDefault="003D13B0" w:rsidP="003D13B0">
      <w:pPr>
        <w:pStyle w:val="FootnoteText"/>
      </w:pPr>
      <w:r>
        <w:rPr>
          <w:rStyle w:val="FootnoteReference"/>
        </w:rPr>
        <w:footnoteRef/>
      </w:r>
      <w:r>
        <w:t xml:space="preserve"> </w:t>
      </w:r>
      <w:r>
        <w:tab/>
        <w:t>Written input (2026</w:t>
      </w:r>
      <w:r w:rsidR="00B93334">
        <w:t>a</w:t>
      </w:r>
      <w:r>
        <w:t>) Romanian Government, p. 5.</w:t>
      </w:r>
    </w:p>
  </w:footnote>
  <w:footnote w:id="197">
    <w:p w14:paraId="6BF6E6C1" w14:textId="77777777" w:rsidR="003D13B0" w:rsidRPr="00BF4D68" w:rsidRDefault="003D13B0" w:rsidP="003D13B0">
      <w:pPr>
        <w:pStyle w:val="FootnoteText"/>
        <w:rPr>
          <w:lang w:val="en-IE"/>
        </w:rPr>
      </w:pPr>
      <w:r>
        <w:rPr>
          <w:rStyle w:val="FootnoteReference"/>
        </w:rPr>
        <w:footnoteRef/>
      </w:r>
      <w:r>
        <w:t xml:space="preserve"> </w:t>
      </w:r>
      <w:r>
        <w:tab/>
      </w:r>
      <w:r w:rsidRPr="00BF4D68">
        <w:t>Resource Centre for Public Participation and Coalition NGOs for Citizens (2026), written input, p. 22</w:t>
      </w:r>
      <w:r>
        <w:t xml:space="preserve">. </w:t>
      </w:r>
      <w:r w:rsidRPr="00BB48FF">
        <w:rPr>
          <w:lang w:val="en-IE"/>
        </w:rPr>
        <w:t>Co</w:t>
      </w:r>
      <w:r>
        <w:rPr>
          <w:lang w:val="en-IE"/>
        </w:rPr>
        <w:t>untry visit Romania, Apador-CH, Public Innovation, PressHub, Freedom House, Funky Citizens, Civic Radauti, Expert Forum, FDSC.</w:t>
      </w:r>
    </w:p>
  </w:footnote>
  <w:footnote w:id="198">
    <w:p w14:paraId="79FF675B" w14:textId="16ADA68B" w:rsidR="003D13B0" w:rsidRPr="00F81E59" w:rsidRDefault="003D13B0" w:rsidP="003D13B0">
      <w:pPr>
        <w:pStyle w:val="FootnoteText"/>
        <w:rPr>
          <w:lang w:val="en-IE"/>
        </w:rPr>
      </w:pPr>
      <w:r>
        <w:rPr>
          <w:rStyle w:val="FootnoteReference"/>
        </w:rPr>
        <w:footnoteRef/>
      </w:r>
      <w:r>
        <w:t xml:space="preserve"> </w:t>
      </w:r>
      <w:r w:rsidRPr="00F81E59">
        <w:rPr>
          <w:lang w:val="en-IE"/>
        </w:rPr>
        <w:tab/>
      </w:r>
      <w:r w:rsidRPr="008C1865">
        <w:rPr>
          <w:lang w:val="en-IE"/>
        </w:rPr>
        <w:t>D</w:t>
      </w:r>
      <w:r w:rsidRPr="008C1865">
        <w:t>raft law of 2021 amending Law 60/1991 on public assemblies</w:t>
      </w:r>
      <w:r w:rsidRPr="008C1865">
        <w:rPr>
          <w:lang w:val="en-IE"/>
        </w:rPr>
        <w:t xml:space="preserve">, approved by the Senate in 2024. </w:t>
      </w:r>
      <w:r w:rsidRPr="006169A3">
        <w:t>Resource</w:t>
      </w:r>
      <w:r>
        <w:t xml:space="preserve"> Centre for Public Participation and Coalition NGOs for Citizens (2026), written input, p. 22. FRA(2026)</w:t>
      </w:r>
      <w:r w:rsidR="005623F4">
        <w:t>, written input, pp. 26</w:t>
      </w:r>
      <w:r w:rsidR="005F76D7">
        <w:t>8-269</w:t>
      </w:r>
      <w:r>
        <w:t>. several civil society organisations have drawn attention that the imprecise legislative mechanism was used to limit the right to peaceful assemblies or to harass participants.</w:t>
      </w:r>
    </w:p>
  </w:footnote>
  <w:footnote w:id="199">
    <w:p w14:paraId="562D07F7" w14:textId="77777777" w:rsidR="003D13B0" w:rsidRPr="00CF1B0D" w:rsidRDefault="003D13B0" w:rsidP="003D13B0">
      <w:pPr>
        <w:pStyle w:val="FootnoteText"/>
        <w:rPr>
          <w:lang w:val="en-IE"/>
        </w:rPr>
      </w:pPr>
      <w:r>
        <w:rPr>
          <w:rStyle w:val="FootnoteReference"/>
        </w:rPr>
        <w:footnoteRef/>
      </w:r>
      <w:r>
        <w:t xml:space="preserve"> </w:t>
      </w:r>
      <w:r>
        <w:rPr>
          <w:lang w:val="en-IE"/>
        </w:rPr>
        <w:tab/>
        <w:t>See also pillar 3 on access to information.</w:t>
      </w:r>
    </w:p>
  </w:footnote>
  <w:footnote w:id="200">
    <w:p w14:paraId="18977CF4" w14:textId="18FCBCD9" w:rsidR="003D13B0" w:rsidRPr="00A640FC" w:rsidRDefault="003D13B0" w:rsidP="003D13B0">
      <w:pPr>
        <w:pStyle w:val="FootnoteText"/>
        <w:rPr>
          <w:lang w:val="en-IE"/>
        </w:rPr>
      </w:pPr>
      <w:r>
        <w:rPr>
          <w:rStyle w:val="FootnoteReference"/>
        </w:rPr>
        <w:footnoteRef/>
      </w:r>
      <w:r w:rsidR="00415DA5">
        <w:t xml:space="preserve"> </w:t>
      </w:r>
      <w:r w:rsidR="00274473">
        <w:tab/>
      </w:r>
      <w:r>
        <w:rPr>
          <w:lang w:val="en-IE"/>
        </w:rPr>
        <w:t xml:space="preserve">Draft law for the approval of the Administrative Procedure Code, 3 November 2025. FRA(2026), written input, </w:t>
      </w:r>
      <w:r w:rsidR="00892F57">
        <w:rPr>
          <w:lang w:val="en-IE"/>
        </w:rPr>
        <w:t>pp. 270-271</w:t>
      </w:r>
      <w:r>
        <w:rPr>
          <w:lang w:val="en-IE"/>
        </w:rPr>
        <w:t xml:space="preserve">, </w:t>
      </w:r>
      <w:r w:rsidRPr="00A640FC">
        <w:rPr>
          <w:lang w:val="en-IE"/>
        </w:rPr>
        <w:t>Liberties (2026), written input, p. 27.</w:t>
      </w:r>
      <w:r>
        <w:rPr>
          <w:lang w:val="en-IE"/>
        </w:rPr>
        <w:t xml:space="preserve"> See also 2025 Rule of Law Report, Romania, p. 14.</w:t>
      </w:r>
    </w:p>
  </w:footnote>
  <w:footnote w:id="201">
    <w:p w14:paraId="06A1578A" w14:textId="4D09491E" w:rsidR="003D13B0" w:rsidRPr="009739F3" w:rsidRDefault="003D13B0" w:rsidP="003D13B0">
      <w:pPr>
        <w:pStyle w:val="FootnoteText"/>
      </w:pPr>
      <w:r>
        <w:rPr>
          <w:rStyle w:val="FootnoteReference"/>
        </w:rPr>
        <w:footnoteRef/>
      </w:r>
      <w:r>
        <w:t xml:space="preserve"> </w:t>
      </w:r>
      <w:r>
        <w:tab/>
        <w:t xml:space="preserve">Draft law </w:t>
      </w:r>
      <w:r w:rsidR="00CC3E78">
        <w:rPr>
          <w:lang w:val="en-IE"/>
        </w:rPr>
        <w:t>supplementing</w:t>
      </w:r>
      <w:r w:rsidR="00CC3E78" w:rsidRPr="003F2AC1">
        <w:rPr>
          <w:lang w:val="en-IE"/>
        </w:rPr>
        <w:t xml:space="preserve"> </w:t>
      </w:r>
      <w:r w:rsidRPr="003F2AC1">
        <w:rPr>
          <w:lang w:val="en-IE"/>
        </w:rPr>
        <w:t>Government Ordinance No. 26/2000 on associations and foundations</w:t>
      </w:r>
      <w:r w:rsidRPr="009739F3">
        <w:t xml:space="preserve"> </w:t>
      </w:r>
      <w:r>
        <w:t>(</w:t>
      </w:r>
      <w:r w:rsidRPr="009739F3">
        <w:t>L233/2026</w:t>
      </w:r>
      <w:r>
        <w:t>).</w:t>
      </w:r>
    </w:p>
  </w:footnote>
  <w:footnote w:id="202">
    <w:p w14:paraId="76A7F3C4" w14:textId="3AE0B5DF" w:rsidR="003D13B0" w:rsidRPr="0025151A" w:rsidRDefault="003D13B0" w:rsidP="00415DA5">
      <w:pPr>
        <w:pStyle w:val="FootnoteRoLReport"/>
      </w:pPr>
      <w:r>
        <w:rPr>
          <w:rStyle w:val="FootnoteReference"/>
        </w:rPr>
        <w:footnoteRef/>
      </w:r>
      <w:r w:rsidR="00415DA5">
        <w:t xml:space="preserve"> </w:t>
      </w:r>
      <w:r w:rsidR="00274473">
        <w:tab/>
      </w:r>
      <w:r w:rsidRPr="00FF7279">
        <w:t>A large number of CSO</w:t>
      </w:r>
      <w:r>
        <w:t>s</w:t>
      </w:r>
      <w:r w:rsidRPr="00FF7279">
        <w:t xml:space="preserve"> have expressed strong concerns</w:t>
      </w:r>
      <w:r>
        <w:t xml:space="preserve"> about the proposed measures, </w:t>
      </w:r>
      <w:r w:rsidRPr="00FF7279">
        <w:t xml:space="preserve">considering that </w:t>
      </w:r>
      <w:r>
        <w:t xml:space="preserve">the </w:t>
      </w:r>
      <w:r w:rsidRPr="00FF7279">
        <w:t>sanctions</w:t>
      </w:r>
      <w:r>
        <w:t xml:space="preserve"> proposed</w:t>
      </w:r>
      <w:r w:rsidRPr="00FF7279">
        <w:t xml:space="preserve"> </w:t>
      </w:r>
      <w:r>
        <w:t>for not complying with</w:t>
      </w:r>
      <w:r w:rsidRPr="00FF7279">
        <w:t xml:space="preserve"> the obligations</w:t>
      </w:r>
      <w:r>
        <w:t xml:space="preserve"> </w:t>
      </w:r>
      <w:r w:rsidRPr="00FF7279">
        <w:t xml:space="preserve">—i.e., the suspension of activities, followed by automatic dissolution- are disproportionate. The Economic and Social Council, the Legislative Council, and the Senate Committee on Human Rights, Equal Opportunities, Religions and Minorities </w:t>
      </w:r>
      <w:r>
        <w:t xml:space="preserve">also </w:t>
      </w:r>
      <w:r w:rsidRPr="00FF7279">
        <w:t>raised concerns on the draft law</w:t>
      </w:r>
      <w:r>
        <w:t>,</w:t>
      </w:r>
      <w:r w:rsidRPr="00FF7279">
        <w:t xml:space="preserve"> referring to increased suspicion towards CSOs and </w:t>
      </w:r>
      <w:r>
        <w:t xml:space="preserve">unnecessary </w:t>
      </w:r>
      <w:r w:rsidRPr="00FF7279">
        <w:t xml:space="preserve">administrative burden for the CSOs. The President of </w:t>
      </w:r>
      <w:r w:rsidR="00810C1D">
        <w:t>Romania</w:t>
      </w:r>
      <w:r w:rsidRPr="00FF7279">
        <w:t xml:space="preserve"> indicated that the publication of the names would inhibit support for CSOs by citizens and, thereby, affect civil society as a whole.</w:t>
      </w:r>
    </w:p>
  </w:footnote>
  <w:footnote w:id="203">
    <w:p w14:paraId="4DDA43F7" w14:textId="75E08920" w:rsidR="00EA7831" w:rsidRPr="00D21A7A" w:rsidRDefault="00EA7831">
      <w:pPr>
        <w:pStyle w:val="FootnoteText"/>
        <w:rPr>
          <w:lang w:val="en-IE"/>
        </w:rPr>
      </w:pPr>
      <w:r>
        <w:rPr>
          <w:rStyle w:val="FootnoteReference"/>
        </w:rPr>
        <w:footnoteRef/>
      </w:r>
      <w:r w:rsidR="00CC2CF5">
        <w:t xml:space="preserve"> </w:t>
      </w:r>
      <w:r w:rsidR="00274473">
        <w:tab/>
      </w:r>
      <w:r>
        <w:t xml:space="preserve">Decision no. </w:t>
      </w:r>
      <w:r w:rsidR="008E4BE0" w:rsidRPr="00CC0147">
        <w:t xml:space="preserve">1348/2026 </w:t>
      </w:r>
      <w:r w:rsidRPr="00CC0147">
        <w:t>of</w:t>
      </w:r>
      <w:r>
        <w:t xml:space="preserve"> 9 June 2026.</w:t>
      </w:r>
    </w:p>
  </w:footnote>
  <w:footnote w:id="204">
    <w:p w14:paraId="79F722D0" w14:textId="729AFB95" w:rsidR="00516C9F" w:rsidRPr="00516C9F" w:rsidRDefault="00516C9F">
      <w:pPr>
        <w:pStyle w:val="FootnoteText"/>
        <w:rPr>
          <w:lang w:val="en-IE"/>
        </w:rPr>
      </w:pPr>
      <w:r>
        <w:rPr>
          <w:rStyle w:val="FootnoteReference"/>
        </w:rPr>
        <w:footnoteRef/>
      </w:r>
      <w:r w:rsidRPr="00516C9F">
        <w:rPr>
          <w:lang w:val="en-IE"/>
        </w:rPr>
        <w:t xml:space="preserve">  Open letter signed by 110 </w:t>
      </w:r>
      <w:r>
        <w:rPr>
          <w:lang w:val="en-IE"/>
        </w:rPr>
        <w:t>organisations.</w:t>
      </w:r>
    </w:p>
  </w:footnote>
  <w:footnote w:id="205">
    <w:p w14:paraId="5FBFCB59" w14:textId="21B97C90" w:rsidR="00516C9F" w:rsidRPr="00D21A7A" w:rsidRDefault="00516C9F">
      <w:pPr>
        <w:pStyle w:val="FootnoteText"/>
        <w:rPr>
          <w:lang w:val="en-IE"/>
        </w:rPr>
      </w:pPr>
      <w:r>
        <w:rPr>
          <w:rStyle w:val="FootnoteReference"/>
        </w:rPr>
        <w:footnoteRef/>
      </w:r>
      <w:r>
        <w:t xml:space="preserve">  Declic website.</w:t>
      </w:r>
    </w:p>
  </w:footnote>
  <w:footnote w:id="206">
    <w:p w14:paraId="243F8D9B" w14:textId="29E445F9" w:rsidR="003D13B0" w:rsidRPr="00F82879" w:rsidRDefault="003D13B0" w:rsidP="00415DA5">
      <w:pPr>
        <w:pStyle w:val="FootnoteRoLReport"/>
      </w:pPr>
      <w:r>
        <w:rPr>
          <w:rStyle w:val="FootnoteReference"/>
        </w:rPr>
        <w:footnoteRef/>
      </w:r>
      <w:r w:rsidR="00415DA5">
        <w:t xml:space="preserve"> </w:t>
      </w:r>
      <w:r w:rsidRPr="000D17D3">
        <w:t>Supervision Mechanism, Order 145/2025</w:t>
      </w:r>
      <w:r>
        <w:t xml:space="preserve"> of</w:t>
      </w:r>
      <w:r w:rsidRPr="00F82879">
        <w:t xml:space="preserve"> 18 September 2025 by the National Office for </w:t>
      </w:r>
      <w:r>
        <w:t>p</w:t>
      </w:r>
      <w:r w:rsidRPr="00F82879">
        <w:t>reventi</w:t>
      </w:r>
      <w:r>
        <w:t>ng</w:t>
      </w:r>
      <w:r w:rsidRPr="00F82879">
        <w:t xml:space="preserve"> and</w:t>
      </w:r>
      <w:r>
        <w:t xml:space="preserve"> combating</w:t>
      </w:r>
      <w:r w:rsidRPr="00F82879">
        <w:t xml:space="preserve"> Money Launderin</w:t>
      </w:r>
      <w:r>
        <w:t>g.</w:t>
      </w:r>
    </w:p>
  </w:footnote>
  <w:footnote w:id="207">
    <w:p w14:paraId="35284043" w14:textId="6C7AB767" w:rsidR="003D13B0" w:rsidRPr="00065181" w:rsidRDefault="003D13B0" w:rsidP="00415DA5">
      <w:pPr>
        <w:pStyle w:val="FootnoteRoLReport"/>
      </w:pPr>
      <w:r>
        <w:rPr>
          <w:rStyle w:val="FootnoteReference"/>
        </w:rPr>
        <w:footnoteRef/>
      </w:r>
      <w:r>
        <w:t xml:space="preserve"> </w:t>
      </w:r>
      <w:r>
        <w:tab/>
        <w:t>FDSC (2026), written input, p. 25.</w:t>
      </w:r>
      <w:r w:rsidR="003215BE">
        <w:t xml:space="preserve"> </w:t>
      </w:r>
      <w:r w:rsidR="003215BE" w:rsidRPr="003215BE">
        <w:t>The risk-based supervisory mechanism for associations and foundations stems from the implementation of Law No. 129/2019, which transposes the EU Anti-Money Laundering Directives (AMLD4 and AMLD5)</w:t>
      </w:r>
      <w:r w:rsidR="006A3CB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FEB4F" w14:textId="77777777" w:rsidR="00460DC7" w:rsidRPr="00460DC7" w:rsidRDefault="00460DC7" w:rsidP="00460DC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6E540" w14:textId="77777777" w:rsidR="00460DC7" w:rsidRPr="00460DC7" w:rsidRDefault="00460DC7" w:rsidP="00460DC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E96E3" w14:textId="77777777" w:rsidR="00460DC7" w:rsidRPr="00460DC7" w:rsidRDefault="00460DC7" w:rsidP="00460DC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0885" w14:textId="11BE3782" w:rsidR="003D13B0" w:rsidRDefault="003D13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5548" w14:textId="496441C1" w:rsidR="003D13B0" w:rsidRPr="00B919C1" w:rsidRDefault="003D13B0">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20EEE" w14:textId="3677171B" w:rsidR="003D13B0" w:rsidRDefault="003D1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B9D0686"/>
    <w:multiLevelType w:val="hybridMultilevel"/>
    <w:tmpl w:val="FE3CF484"/>
    <w:lvl w:ilvl="0" w:tplc="FA1484E8">
      <w:start w:val="1"/>
      <w:numFmt w:val="bullet"/>
      <w:lvlText w:val=""/>
      <w:lvlJc w:val="left"/>
      <w:pPr>
        <w:ind w:left="720" w:hanging="360"/>
      </w:pPr>
      <w:rPr>
        <w:rFonts w:ascii="Symbol" w:hAnsi="Symbol"/>
      </w:rPr>
    </w:lvl>
    <w:lvl w:ilvl="1" w:tplc="3B160D66">
      <w:start w:val="1"/>
      <w:numFmt w:val="bullet"/>
      <w:lvlText w:val=""/>
      <w:lvlJc w:val="left"/>
      <w:pPr>
        <w:ind w:left="720" w:hanging="360"/>
      </w:pPr>
      <w:rPr>
        <w:rFonts w:ascii="Symbol" w:hAnsi="Symbol"/>
      </w:rPr>
    </w:lvl>
    <w:lvl w:ilvl="2" w:tplc="43FA38EC">
      <w:start w:val="1"/>
      <w:numFmt w:val="bullet"/>
      <w:lvlText w:val=""/>
      <w:lvlJc w:val="left"/>
      <w:pPr>
        <w:ind w:left="720" w:hanging="360"/>
      </w:pPr>
      <w:rPr>
        <w:rFonts w:ascii="Symbol" w:hAnsi="Symbol"/>
      </w:rPr>
    </w:lvl>
    <w:lvl w:ilvl="3" w:tplc="2494A2C2">
      <w:start w:val="1"/>
      <w:numFmt w:val="bullet"/>
      <w:lvlText w:val=""/>
      <w:lvlJc w:val="left"/>
      <w:pPr>
        <w:ind w:left="720" w:hanging="360"/>
      </w:pPr>
      <w:rPr>
        <w:rFonts w:ascii="Symbol" w:hAnsi="Symbol"/>
      </w:rPr>
    </w:lvl>
    <w:lvl w:ilvl="4" w:tplc="82020018">
      <w:start w:val="1"/>
      <w:numFmt w:val="bullet"/>
      <w:lvlText w:val=""/>
      <w:lvlJc w:val="left"/>
      <w:pPr>
        <w:ind w:left="720" w:hanging="360"/>
      </w:pPr>
      <w:rPr>
        <w:rFonts w:ascii="Symbol" w:hAnsi="Symbol"/>
      </w:rPr>
    </w:lvl>
    <w:lvl w:ilvl="5" w:tplc="E72042C0">
      <w:start w:val="1"/>
      <w:numFmt w:val="bullet"/>
      <w:lvlText w:val=""/>
      <w:lvlJc w:val="left"/>
      <w:pPr>
        <w:ind w:left="720" w:hanging="360"/>
      </w:pPr>
      <w:rPr>
        <w:rFonts w:ascii="Symbol" w:hAnsi="Symbol"/>
      </w:rPr>
    </w:lvl>
    <w:lvl w:ilvl="6" w:tplc="4AB8CD52">
      <w:start w:val="1"/>
      <w:numFmt w:val="bullet"/>
      <w:lvlText w:val=""/>
      <w:lvlJc w:val="left"/>
      <w:pPr>
        <w:ind w:left="720" w:hanging="360"/>
      </w:pPr>
      <w:rPr>
        <w:rFonts w:ascii="Symbol" w:hAnsi="Symbol"/>
      </w:rPr>
    </w:lvl>
    <w:lvl w:ilvl="7" w:tplc="4D761420">
      <w:start w:val="1"/>
      <w:numFmt w:val="bullet"/>
      <w:lvlText w:val=""/>
      <w:lvlJc w:val="left"/>
      <w:pPr>
        <w:ind w:left="720" w:hanging="360"/>
      </w:pPr>
      <w:rPr>
        <w:rFonts w:ascii="Symbol" w:hAnsi="Symbol"/>
      </w:rPr>
    </w:lvl>
    <w:lvl w:ilvl="8" w:tplc="92125FA4">
      <w:start w:val="1"/>
      <w:numFmt w:val="bullet"/>
      <w:lvlText w:val=""/>
      <w:lvlJc w:val="left"/>
      <w:pPr>
        <w:ind w:left="720" w:hanging="360"/>
      </w:pPr>
      <w:rPr>
        <w:rFonts w:ascii="Symbol" w:hAnsi="Symbol"/>
      </w:rPr>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08348AD"/>
    <w:multiLevelType w:val="hybridMultilevel"/>
    <w:tmpl w:val="AE9659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9440C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BCF5EB9"/>
    <w:multiLevelType w:val="hybridMultilevel"/>
    <w:tmpl w:val="3E4C4A70"/>
    <w:lvl w:ilvl="0" w:tplc="3552F048">
      <w:start w:val="1"/>
      <w:numFmt w:val="decimal"/>
      <w:lvlText w:val="%1."/>
      <w:lvlJc w:val="left"/>
      <w:pPr>
        <w:ind w:left="1020" w:hanging="360"/>
      </w:pPr>
    </w:lvl>
    <w:lvl w:ilvl="1" w:tplc="B89CAAD6">
      <w:start w:val="1"/>
      <w:numFmt w:val="decimal"/>
      <w:lvlText w:val="%2."/>
      <w:lvlJc w:val="left"/>
      <w:pPr>
        <w:ind w:left="1020" w:hanging="360"/>
      </w:pPr>
    </w:lvl>
    <w:lvl w:ilvl="2" w:tplc="40C06FB0">
      <w:start w:val="1"/>
      <w:numFmt w:val="decimal"/>
      <w:lvlText w:val="%3."/>
      <w:lvlJc w:val="left"/>
      <w:pPr>
        <w:ind w:left="1020" w:hanging="360"/>
      </w:pPr>
    </w:lvl>
    <w:lvl w:ilvl="3" w:tplc="117289C4">
      <w:start w:val="1"/>
      <w:numFmt w:val="decimal"/>
      <w:lvlText w:val="%4."/>
      <w:lvlJc w:val="left"/>
      <w:pPr>
        <w:ind w:left="1020" w:hanging="360"/>
      </w:pPr>
    </w:lvl>
    <w:lvl w:ilvl="4" w:tplc="CD862576">
      <w:start w:val="1"/>
      <w:numFmt w:val="decimal"/>
      <w:lvlText w:val="%5."/>
      <w:lvlJc w:val="left"/>
      <w:pPr>
        <w:ind w:left="1020" w:hanging="360"/>
      </w:pPr>
    </w:lvl>
    <w:lvl w:ilvl="5" w:tplc="6DDE5D12">
      <w:start w:val="1"/>
      <w:numFmt w:val="decimal"/>
      <w:lvlText w:val="%6."/>
      <w:lvlJc w:val="left"/>
      <w:pPr>
        <w:ind w:left="1020" w:hanging="360"/>
      </w:pPr>
    </w:lvl>
    <w:lvl w:ilvl="6" w:tplc="EC9CCB3A">
      <w:start w:val="1"/>
      <w:numFmt w:val="decimal"/>
      <w:lvlText w:val="%7."/>
      <w:lvlJc w:val="left"/>
      <w:pPr>
        <w:ind w:left="1020" w:hanging="360"/>
      </w:pPr>
    </w:lvl>
    <w:lvl w:ilvl="7" w:tplc="169A567C">
      <w:start w:val="1"/>
      <w:numFmt w:val="decimal"/>
      <w:lvlText w:val="%8."/>
      <w:lvlJc w:val="left"/>
      <w:pPr>
        <w:ind w:left="1020" w:hanging="360"/>
      </w:pPr>
    </w:lvl>
    <w:lvl w:ilvl="8" w:tplc="2EB2D298">
      <w:start w:val="1"/>
      <w:numFmt w:val="decimal"/>
      <w:lvlText w:val="%9."/>
      <w:lvlJc w:val="left"/>
      <w:pPr>
        <w:ind w:left="1020" w:hanging="360"/>
      </w:pPr>
    </w:lvl>
  </w:abstractNum>
  <w:abstractNum w:abstractNumId="26" w15:restartNumberingAfterBreak="0">
    <w:nsid w:val="5FA92860"/>
    <w:multiLevelType w:val="hybridMultilevel"/>
    <w:tmpl w:val="229C412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10F494F"/>
    <w:multiLevelType w:val="hybridMultilevel"/>
    <w:tmpl w:val="612EBEE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8167056"/>
    <w:multiLevelType w:val="hybridMultilevel"/>
    <w:tmpl w:val="4B8A7782"/>
    <w:lvl w:ilvl="0" w:tplc="3272C09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12D19E7"/>
    <w:multiLevelType w:val="hybridMultilevel"/>
    <w:tmpl w:val="F1F60E2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A086992"/>
    <w:multiLevelType w:val="hybridMultilevel"/>
    <w:tmpl w:val="7924D444"/>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32"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3"/>
  </w:num>
  <w:num w:numId="2">
    <w:abstractNumId w:val="12"/>
  </w:num>
  <w:num w:numId="3">
    <w:abstractNumId w:val="11"/>
  </w:num>
  <w:num w:numId="4">
    <w:abstractNumId w:val="32"/>
  </w:num>
  <w:num w:numId="5">
    <w:abstractNumId w:val="22"/>
  </w:num>
  <w:num w:numId="6">
    <w:abstractNumId w:val="18"/>
  </w:num>
  <w:num w:numId="7">
    <w:abstractNumId w:val="10"/>
  </w:num>
  <w:num w:numId="8">
    <w:abstractNumId w:val="5"/>
  </w:num>
  <w:num w:numId="9">
    <w:abstractNumId w:val="3"/>
  </w:num>
  <w:num w:numId="10">
    <w:abstractNumId w:val="2"/>
  </w:num>
  <w:num w:numId="11">
    <w:abstractNumId w:val="19"/>
  </w:num>
  <w:num w:numId="12">
    <w:abstractNumId w:val="7"/>
  </w:num>
  <w:num w:numId="13">
    <w:abstractNumId w:val="1"/>
  </w:num>
  <w:num w:numId="14">
    <w:abstractNumId w:val="29"/>
  </w:num>
  <w:num w:numId="15">
    <w:abstractNumId w:val="24"/>
  </w:num>
  <w:num w:numId="16">
    <w:abstractNumId w:val="16"/>
  </w:num>
  <w:num w:numId="17">
    <w:abstractNumId w:val="9"/>
  </w:num>
  <w:num w:numId="18">
    <w:abstractNumId w:val="15"/>
  </w:num>
  <w:num w:numId="19">
    <w:abstractNumId w:val="0"/>
  </w:num>
  <w:num w:numId="20">
    <w:abstractNumId w:val="14"/>
  </w:num>
  <w:num w:numId="21">
    <w:abstractNumId w:val="6"/>
  </w:num>
  <w:num w:numId="22">
    <w:abstractNumId w:val="17"/>
  </w:num>
  <w:num w:numId="23">
    <w:abstractNumId w:val="30"/>
  </w:num>
  <w:num w:numId="24">
    <w:abstractNumId w:val="23"/>
  </w:num>
  <w:num w:numId="25">
    <w:abstractNumId w:val="26"/>
  </w:num>
  <w:num w:numId="26">
    <w:abstractNumId w:val="27"/>
  </w:num>
  <w:num w:numId="27">
    <w:abstractNumId w:val="13"/>
  </w:num>
  <w:num w:numId="28">
    <w:abstractNumId w:val="21"/>
  </w:num>
  <w:num w:numId="29">
    <w:abstractNumId w:val="8"/>
  </w:num>
  <w:num w:numId="30">
    <w:abstractNumId w:val="25"/>
  </w:num>
  <w:num w:numId="31">
    <w:abstractNumId w:val="31"/>
  </w:num>
  <w:num w:numId="32">
    <w:abstractNumId w:val="28"/>
  </w:num>
  <w:num w:numId="33">
    <w:abstractNumId w:val="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6780D3D5-0508-4305-AB60-D157D83A42D5"/>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b_Country Chapter on the rule of law situation in Roma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AC4"/>
    <w:rsid w:val="00000CC9"/>
    <w:rsid w:val="00000D6D"/>
    <w:rsid w:val="00001844"/>
    <w:rsid w:val="00002A19"/>
    <w:rsid w:val="00003459"/>
    <w:rsid w:val="0000377E"/>
    <w:rsid w:val="00004465"/>
    <w:rsid w:val="00005DBB"/>
    <w:rsid w:val="0000673C"/>
    <w:rsid w:val="00006FA5"/>
    <w:rsid w:val="0001036C"/>
    <w:rsid w:val="0001047B"/>
    <w:rsid w:val="000105EC"/>
    <w:rsid w:val="00011207"/>
    <w:rsid w:val="00011BCD"/>
    <w:rsid w:val="000129F0"/>
    <w:rsid w:val="00013364"/>
    <w:rsid w:val="0001346A"/>
    <w:rsid w:val="0001388E"/>
    <w:rsid w:val="00014652"/>
    <w:rsid w:val="000150EE"/>
    <w:rsid w:val="000165F8"/>
    <w:rsid w:val="00017618"/>
    <w:rsid w:val="00020B02"/>
    <w:rsid w:val="000210DF"/>
    <w:rsid w:val="000219A6"/>
    <w:rsid w:val="000233CA"/>
    <w:rsid w:val="000239C2"/>
    <w:rsid w:val="00024281"/>
    <w:rsid w:val="00025B57"/>
    <w:rsid w:val="00027184"/>
    <w:rsid w:val="0002722C"/>
    <w:rsid w:val="00027850"/>
    <w:rsid w:val="0003040B"/>
    <w:rsid w:val="00031BCE"/>
    <w:rsid w:val="00032FAA"/>
    <w:rsid w:val="00033B84"/>
    <w:rsid w:val="00033ED8"/>
    <w:rsid w:val="00034302"/>
    <w:rsid w:val="000348B2"/>
    <w:rsid w:val="00035EF9"/>
    <w:rsid w:val="000373C4"/>
    <w:rsid w:val="00037CCE"/>
    <w:rsid w:val="000407E2"/>
    <w:rsid w:val="00042C93"/>
    <w:rsid w:val="00042D21"/>
    <w:rsid w:val="00042EAD"/>
    <w:rsid w:val="00044B70"/>
    <w:rsid w:val="00045898"/>
    <w:rsid w:val="00045D6A"/>
    <w:rsid w:val="00047355"/>
    <w:rsid w:val="0004791C"/>
    <w:rsid w:val="000501E3"/>
    <w:rsid w:val="00051140"/>
    <w:rsid w:val="000514AB"/>
    <w:rsid w:val="00051957"/>
    <w:rsid w:val="00051F02"/>
    <w:rsid w:val="00052B0B"/>
    <w:rsid w:val="000532E4"/>
    <w:rsid w:val="00053421"/>
    <w:rsid w:val="00053517"/>
    <w:rsid w:val="00053CFD"/>
    <w:rsid w:val="000542D0"/>
    <w:rsid w:val="0005691B"/>
    <w:rsid w:val="000569A3"/>
    <w:rsid w:val="000570F4"/>
    <w:rsid w:val="0005779A"/>
    <w:rsid w:val="000610F0"/>
    <w:rsid w:val="000630C2"/>
    <w:rsid w:val="000634E5"/>
    <w:rsid w:val="000640C3"/>
    <w:rsid w:val="000644D7"/>
    <w:rsid w:val="00065788"/>
    <w:rsid w:val="00065B41"/>
    <w:rsid w:val="00065BCB"/>
    <w:rsid w:val="00066A00"/>
    <w:rsid w:val="00067506"/>
    <w:rsid w:val="00067C85"/>
    <w:rsid w:val="00070E05"/>
    <w:rsid w:val="00071E69"/>
    <w:rsid w:val="000727C7"/>
    <w:rsid w:val="00072D06"/>
    <w:rsid w:val="00074BAB"/>
    <w:rsid w:val="000765B1"/>
    <w:rsid w:val="00081709"/>
    <w:rsid w:val="000819A6"/>
    <w:rsid w:val="00081AE1"/>
    <w:rsid w:val="0008210C"/>
    <w:rsid w:val="00082A08"/>
    <w:rsid w:val="000830E3"/>
    <w:rsid w:val="000835C9"/>
    <w:rsid w:val="0008493F"/>
    <w:rsid w:val="00084D11"/>
    <w:rsid w:val="00084EBD"/>
    <w:rsid w:val="000851A0"/>
    <w:rsid w:val="00085525"/>
    <w:rsid w:val="000856BA"/>
    <w:rsid w:val="00085966"/>
    <w:rsid w:val="0008643B"/>
    <w:rsid w:val="00086773"/>
    <w:rsid w:val="000875DA"/>
    <w:rsid w:val="00090BE3"/>
    <w:rsid w:val="00091033"/>
    <w:rsid w:val="000911E3"/>
    <w:rsid w:val="0009141D"/>
    <w:rsid w:val="000930DB"/>
    <w:rsid w:val="000945FA"/>
    <w:rsid w:val="00095C66"/>
    <w:rsid w:val="00095F47"/>
    <w:rsid w:val="00097799"/>
    <w:rsid w:val="000978C5"/>
    <w:rsid w:val="000A03AA"/>
    <w:rsid w:val="000A0F2F"/>
    <w:rsid w:val="000A28A1"/>
    <w:rsid w:val="000A322F"/>
    <w:rsid w:val="000A3AF1"/>
    <w:rsid w:val="000A415F"/>
    <w:rsid w:val="000A676A"/>
    <w:rsid w:val="000A689D"/>
    <w:rsid w:val="000A77F4"/>
    <w:rsid w:val="000B0726"/>
    <w:rsid w:val="000B2FC4"/>
    <w:rsid w:val="000B45FD"/>
    <w:rsid w:val="000B4B12"/>
    <w:rsid w:val="000B544F"/>
    <w:rsid w:val="000B5A2A"/>
    <w:rsid w:val="000B6D8F"/>
    <w:rsid w:val="000B715C"/>
    <w:rsid w:val="000B71C2"/>
    <w:rsid w:val="000B726D"/>
    <w:rsid w:val="000C0C6C"/>
    <w:rsid w:val="000C0EAA"/>
    <w:rsid w:val="000C104F"/>
    <w:rsid w:val="000C1F87"/>
    <w:rsid w:val="000C2B92"/>
    <w:rsid w:val="000C3904"/>
    <w:rsid w:val="000C3957"/>
    <w:rsid w:val="000C5963"/>
    <w:rsid w:val="000C5F31"/>
    <w:rsid w:val="000C624C"/>
    <w:rsid w:val="000C6575"/>
    <w:rsid w:val="000C65F9"/>
    <w:rsid w:val="000C755A"/>
    <w:rsid w:val="000C7B3A"/>
    <w:rsid w:val="000D31FA"/>
    <w:rsid w:val="000D327D"/>
    <w:rsid w:val="000D3D92"/>
    <w:rsid w:val="000D3F33"/>
    <w:rsid w:val="000D5382"/>
    <w:rsid w:val="000D6D11"/>
    <w:rsid w:val="000D7845"/>
    <w:rsid w:val="000D7E50"/>
    <w:rsid w:val="000E0588"/>
    <w:rsid w:val="000E09AF"/>
    <w:rsid w:val="000E131B"/>
    <w:rsid w:val="000E1C3E"/>
    <w:rsid w:val="000E1F37"/>
    <w:rsid w:val="000E2D82"/>
    <w:rsid w:val="000E38BB"/>
    <w:rsid w:val="000E3A1D"/>
    <w:rsid w:val="000E45A4"/>
    <w:rsid w:val="000E4703"/>
    <w:rsid w:val="000E58AB"/>
    <w:rsid w:val="000E5FA0"/>
    <w:rsid w:val="000E631A"/>
    <w:rsid w:val="000E6772"/>
    <w:rsid w:val="000E6BE9"/>
    <w:rsid w:val="000E7E57"/>
    <w:rsid w:val="000F0454"/>
    <w:rsid w:val="000F096A"/>
    <w:rsid w:val="000F11E1"/>
    <w:rsid w:val="000F1215"/>
    <w:rsid w:val="000F13A5"/>
    <w:rsid w:val="000F1A42"/>
    <w:rsid w:val="000F1D7F"/>
    <w:rsid w:val="000F228B"/>
    <w:rsid w:val="000F392B"/>
    <w:rsid w:val="000F5160"/>
    <w:rsid w:val="000F7195"/>
    <w:rsid w:val="000F74BC"/>
    <w:rsid w:val="000F7D5D"/>
    <w:rsid w:val="00101251"/>
    <w:rsid w:val="00101C4D"/>
    <w:rsid w:val="00102058"/>
    <w:rsid w:val="001047E8"/>
    <w:rsid w:val="001059E7"/>
    <w:rsid w:val="0010636B"/>
    <w:rsid w:val="001073A9"/>
    <w:rsid w:val="001113C1"/>
    <w:rsid w:val="00112213"/>
    <w:rsid w:val="00112D12"/>
    <w:rsid w:val="00113A7C"/>
    <w:rsid w:val="00114B85"/>
    <w:rsid w:val="00115114"/>
    <w:rsid w:val="00115375"/>
    <w:rsid w:val="00115DDF"/>
    <w:rsid w:val="00116227"/>
    <w:rsid w:val="001162D2"/>
    <w:rsid w:val="00120B08"/>
    <w:rsid w:val="00125FA0"/>
    <w:rsid w:val="0012606C"/>
    <w:rsid w:val="00126A54"/>
    <w:rsid w:val="00126F75"/>
    <w:rsid w:val="001270DD"/>
    <w:rsid w:val="00130E4E"/>
    <w:rsid w:val="00130EAC"/>
    <w:rsid w:val="00130EE2"/>
    <w:rsid w:val="001318E5"/>
    <w:rsid w:val="00132564"/>
    <w:rsid w:val="00134A04"/>
    <w:rsid w:val="00134DF2"/>
    <w:rsid w:val="00135063"/>
    <w:rsid w:val="00135962"/>
    <w:rsid w:val="00136790"/>
    <w:rsid w:val="00137417"/>
    <w:rsid w:val="00137AA5"/>
    <w:rsid w:val="0014029C"/>
    <w:rsid w:val="0014148D"/>
    <w:rsid w:val="001418DB"/>
    <w:rsid w:val="00142FBA"/>
    <w:rsid w:val="0014343F"/>
    <w:rsid w:val="00143A78"/>
    <w:rsid w:val="00143ACC"/>
    <w:rsid w:val="00144706"/>
    <w:rsid w:val="00144D32"/>
    <w:rsid w:val="00147D05"/>
    <w:rsid w:val="00147D43"/>
    <w:rsid w:val="00150AB2"/>
    <w:rsid w:val="0015177B"/>
    <w:rsid w:val="00152467"/>
    <w:rsid w:val="00152E38"/>
    <w:rsid w:val="0015339B"/>
    <w:rsid w:val="0015423C"/>
    <w:rsid w:val="00154411"/>
    <w:rsid w:val="00154A40"/>
    <w:rsid w:val="00154EB8"/>
    <w:rsid w:val="00155DF9"/>
    <w:rsid w:val="00160F9C"/>
    <w:rsid w:val="00165039"/>
    <w:rsid w:val="00166B2F"/>
    <w:rsid w:val="00167B29"/>
    <w:rsid w:val="00167CFF"/>
    <w:rsid w:val="00170590"/>
    <w:rsid w:val="00170C0A"/>
    <w:rsid w:val="00170C28"/>
    <w:rsid w:val="00171235"/>
    <w:rsid w:val="00172594"/>
    <w:rsid w:val="00173722"/>
    <w:rsid w:val="001739F4"/>
    <w:rsid w:val="00173D59"/>
    <w:rsid w:val="001759FB"/>
    <w:rsid w:val="00175F4E"/>
    <w:rsid w:val="00180290"/>
    <w:rsid w:val="00180C84"/>
    <w:rsid w:val="0018136B"/>
    <w:rsid w:val="001823A3"/>
    <w:rsid w:val="00182B52"/>
    <w:rsid w:val="00183B49"/>
    <w:rsid w:val="00183F6A"/>
    <w:rsid w:val="00186115"/>
    <w:rsid w:val="001861F1"/>
    <w:rsid w:val="001908D2"/>
    <w:rsid w:val="00190CDF"/>
    <w:rsid w:val="001913DE"/>
    <w:rsid w:val="00191F87"/>
    <w:rsid w:val="001923D3"/>
    <w:rsid w:val="001927DF"/>
    <w:rsid w:val="001947A8"/>
    <w:rsid w:val="00195694"/>
    <w:rsid w:val="00196364"/>
    <w:rsid w:val="00196425"/>
    <w:rsid w:val="0019674F"/>
    <w:rsid w:val="00197F3A"/>
    <w:rsid w:val="001A19CE"/>
    <w:rsid w:val="001A225F"/>
    <w:rsid w:val="001A2885"/>
    <w:rsid w:val="001A2DAF"/>
    <w:rsid w:val="001A30BA"/>
    <w:rsid w:val="001A39F0"/>
    <w:rsid w:val="001A404C"/>
    <w:rsid w:val="001A6C2F"/>
    <w:rsid w:val="001B02A6"/>
    <w:rsid w:val="001B0948"/>
    <w:rsid w:val="001B3165"/>
    <w:rsid w:val="001B416E"/>
    <w:rsid w:val="001B6B77"/>
    <w:rsid w:val="001B718B"/>
    <w:rsid w:val="001C04FF"/>
    <w:rsid w:val="001C4176"/>
    <w:rsid w:val="001C69A8"/>
    <w:rsid w:val="001D08C1"/>
    <w:rsid w:val="001D0C84"/>
    <w:rsid w:val="001D0EA2"/>
    <w:rsid w:val="001D1881"/>
    <w:rsid w:val="001D1956"/>
    <w:rsid w:val="001D2501"/>
    <w:rsid w:val="001D2838"/>
    <w:rsid w:val="001D3F38"/>
    <w:rsid w:val="001D5849"/>
    <w:rsid w:val="001D58AA"/>
    <w:rsid w:val="001E0121"/>
    <w:rsid w:val="001E10E8"/>
    <w:rsid w:val="001E1561"/>
    <w:rsid w:val="001E27BB"/>
    <w:rsid w:val="001E28D3"/>
    <w:rsid w:val="001E45BC"/>
    <w:rsid w:val="001E5CB9"/>
    <w:rsid w:val="001E653B"/>
    <w:rsid w:val="001E70CF"/>
    <w:rsid w:val="001E72BF"/>
    <w:rsid w:val="001E7698"/>
    <w:rsid w:val="001F009A"/>
    <w:rsid w:val="001F1A13"/>
    <w:rsid w:val="001F205C"/>
    <w:rsid w:val="001F41B2"/>
    <w:rsid w:val="001F4628"/>
    <w:rsid w:val="001F5E93"/>
    <w:rsid w:val="001F666E"/>
    <w:rsid w:val="001F70DF"/>
    <w:rsid w:val="001F71CA"/>
    <w:rsid w:val="001F775A"/>
    <w:rsid w:val="00200A71"/>
    <w:rsid w:val="00200B50"/>
    <w:rsid w:val="00200E87"/>
    <w:rsid w:val="00201757"/>
    <w:rsid w:val="00205D66"/>
    <w:rsid w:val="0021018C"/>
    <w:rsid w:val="00211460"/>
    <w:rsid w:val="002119A1"/>
    <w:rsid w:val="002119FC"/>
    <w:rsid w:val="00211F13"/>
    <w:rsid w:val="002129B0"/>
    <w:rsid w:val="0021370D"/>
    <w:rsid w:val="00213D5B"/>
    <w:rsid w:val="0021435E"/>
    <w:rsid w:val="00214B7D"/>
    <w:rsid w:val="002156A7"/>
    <w:rsid w:val="00215DA7"/>
    <w:rsid w:val="002165D0"/>
    <w:rsid w:val="00220263"/>
    <w:rsid w:val="002207F1"/>
    <w:rsid w:val="00220B44"/>
    <w:rsid w:val="00220BD8"/>
    <w:rsid w:val="002214E0"/>
    <w:rsid w:val="0022236A"/>
    <w:rsid w:val="002248BF"/>
    <w:rsid w:val="00225F1C"/>
    <w:rsid w:val="00226307"/>
    <w:rsid w:val="00226550"/>
    <w:rsid w:val="0022657D"/>
    <w:rsid w:val="00230B73"/>
    <w:rsid w:val="00230DCC"/>
    <w:rsid w:val="00231427"/>
    <w:rsid w:val="002317C8"/>
    <w:rsid w:val="0023296C"/>
    <w:rsid w:val="00234545"/>
    <w:rsid w:val="00236B6B"/>
    <w:rsid w:val="00236BE9"/>
    <w:rsid w:val="00237710"/>
    <w:rsid w:val="00237C19"/>
    <w:rsid w:val="00237F35"/>
    <w:rsid w:val="00240A4D"/>
    <w:rsid w:val="0024147E"/>
    <w:rsid w:val="00243F5C"/>
    <w:rsid w:val="002453BE"/>
    <w:rsid w:val="00245F9F"/>
    <w:rsid w:val="0024776A"/>
    <w:rsid w:val="00247898"/>
    <w:rsid w:val="002504E1"/>
    <w:rsid w:val="00251ADC"/>
    <w:rsid w:val="00251BE5"/>
    <w:rsid w:val="00251F45"/>
    <w:rsid w:val="002529C9"/>
    <w:rsid w:val="00252BE4"/>
    <w:rsid w:val="002606B9"/>
    <w:rsid w:val="002606BA"/>
    <w:rsid w:val="002606D8"/>
    <w:rsid w:val="00260D43"/>
    <w:rsid w:val="0026231D"/>
    <w:rsid w:val="00264FFB"/>
    <w:rsid w:val="0026521B"/>
    <w:rsid w:val="00265646"/>
    <w:rsid w:val="0026676D"/>
    <w:rsid w:val="002667CE"/>
    <w:rsid w:val="00267445"/>
    <w:rsid w:val="002716A0"/>
    <w:rsid w:val="00271AC8"/>
    <w:rsid w:val="0027391F"/>
    <w:rsid w:val="00274473"/>
    <w:rsid w:val="0027465C"/>
    <w:rsid w:val="00274A92"/>
    <w:rsid w:val="002756DB"/>
    <w:rsid w:val="00276495"/>
    <w:rsid w:val="00276A03"/>
    <w:rsid w:val="00276E31"/>
    <w:rsid w:val="002771ED"/>
    <w:rsid w:val="0028049F"/>
    <w:rsid w:val="002813B8"/>
    <w:rsid w:val="00285603"/>
    <w:rsid w:val="002859F3"/>
    <w:rsid w:val="00286313"/>
    <w:rsid w:val="00287504"/>
    <w:rsid w:val="002879E8"/>
    <w:rsid w:val="00287A47"/>
    <w:rsid w:val="00287F40"/>
    <w:rsid w:val="00290FF1"/>
    <w:rsid w:val="002915BA"/>
    <w:rsid w:val="00292C64"/>
    <w:rsid w:val="00294A1A"/>
    <w:rsid w:val="00295BBA"/>
    <w:rsid w:val="0029756E"/>
    <w:rsid w:val="00297CF9"/>
    <w:rsid w:val="002A05F1"/>
    <w:rsid w:val="002A124D"/>
    <w:rsid w:val="002A23E1"/>
    <w:rsid w:val="002A3A34"/>
    <w:rsid w:val="002A3CEA"/>
    <w:rsid w:val="002A3D0B"/>
    <w:rsid w:val="002A4132"/>
    <w:rsid w:val="002A5764"/>
    <w:rsid w:val="002A5840"/>
    <w:rsid w:val="002A5AA6"/>
    <w:rsid w:val="002A65F7"/>
    <w:rsid w:val="002A74DC"/>
    <w:rsid w:val="002A786E"/>
    <w:rsid w:val="002A7D75"/>
    <w:rsid w:val="002B0215"/>
    <w:rsid w:val="002B1EB1"/>
    <w:rsid w:val="002B2744"/>
    <w:rsid w:val="002B2A56"/>
    <w:rsid w:val="002B2AB9"/>
    <w:rsid w:val="002B2CDF"/>
    <w:rsid w:val="002B2DBC"/>
    <w:rsid w:val="002B3C1B"/>
    <w:rsid w:val="002B3CB5"/>
    <w:rsid w:val="002B3F4C"/>
    <w:rsid w:val="002B4364"/>
    <w:rsid w:val="002B43B3"/>
    <w:rsid w:val="002B462E"/>
    <w:rsid w:val="002B54BC"/>
    <w:rsid w:val="002B5EE7"/>
    <w:rsid w:val="002B5F41"/>
    <w:rsid w:val="002B6D01"/>
    <w:rsid w:val="002B7305"/>
    <w:rsid w:val="002C00BF"/>
    <w:rsid w:val="002C05F5"/>
    <w:rsid w:val="002C1591"/>
    <w:rsid w:val="002C2280"/>
    <w:rsid w:val="002C344A"/>
    <w:rsid w:val="002C5EE4"/>
    <w:rsid w:val="002C601E"/>
    <w:rsid w:val="002C6242"/>
    <w:rsid w:val="002D0612"/>
    <w:rsid w:val="002D0C99"/>
    <w:rsid w:val="002D2390"/>
    <w:rsid w:val="002D4CA1"/>
    <w:rsid w:val="002D51F0"/>
    <w:rsid w:val="002D770A"/>
    <w:rsid w:val="002E081A"/>
    <w:rsid w:val="002E15D5"/>
    <w:rsid w:val="002E22F0"/>
    <w:rsid w:val="002E2422"/>
    <w:rsid w:val="002E3C3B"/>
    <w:rsid w:val="002E40F2"/>
    <w:rsid w:val="002E463B"/>
    <w:rsid w:val="002E4803"/>
    <w:rsid w:val="002E569B"/>
    <w:rsid w:val="002E5A8C"/>
    <w:rsid w:val="002E5AA4"/>
    <w:rsid w:val="002E694E"/>
    <w:rsid w:val="002E7437"/>
    <w:rsid w:val="002E77B0"/>
    <w:rsid w:val="002F1010"/>
    <w:rsid w:val="002F1D10"/>
    <w:rsid w:val="002F2F80"/>
    <w:rsid w:val="002F4152"/>
    <w:rsid w:val="002F47D0"/>
    <w:rsid w:val="002F4AB4"/>
    <w:rsid w:val="002F50C7"/>
    <w:rsid w:val="002F5763"/>
    <w:rsid w:val="00300EDC"/>
    <w:rsid w:val="00301DCA"/>
    <w:rsid w:val="00303154"/>
    <w:rsid w:val="00303B81"/>
    <w:rsid w:val="00304656"/>
    <w:rsid w:val="00305D52"/>
    <w:rsid w:val="00306DFB"/>
    <w:rsid w:val="0030784B"/>
    <w:rsid w:val="00307B50"/>
    <w:rsid w:val="00307E49"/>
    <w:rsid w:val="00311348"/>
    <w:rsid w:val="00311686"/>
    <w:rsid w:val="003117C2"/>
    <w:rsid w:val="00312461"/>
    <w:rsid w:val="00312B6C"/>
    <w:rsid w:val="00313549"/>
    <w:rsid w:val="003139E8"/>
    <w:rsid w:val="003142B1"/>
    <w:rsid w:val="00315513"/>
    <w:rsid w:val="00316982"/>
    <w:rsid w:val="003173E3"/>
    <w:rsid w:val="00320407"/>
    <w:rsid w:val="0032085B"/>
    <w:rsid w:val="00320D82"/>
    <w:rsid w:val="003215BE"/>
    <w:rsid w:val="0032180B"/>
    <w:rsid w:val="003219D5"/>
    <w:rsid w:val="003225E4"/>
    <w:rsid w:val="00322D67"/>
    <w:rsid w:val="00323B92"/>
    <w:rsid w:val="00324E55"/>
    <w:rsid w:val="003256BD"/>
    <w:rsid w:val="00326E2B"/>
    <w:rsid w:val="00327691"/>
    <w:rsid w:val="00332FFA"/>
    <w:rsid w:val="00333936"/>
    <w:rsid w:val="00333B2D"/>
    <w:rsid w:val="00335D0D"/>
    <w:rsid w:val="00340195"/>
    <w:rsid w:val="00340255"/>
    <w:rsid w:val="00345073"/>
    <w:rsid w:val="003452CF"/>
    <w:rsid w:val="00345344"/>
    <w:rsid w:val="003454D2"/>
    <w:rsid w:val="0034581D"/>
    <w:rsid w:val="003461A9"/>
    <w:rsid w:val="003470BF"/>
    <w:rsid w:val="003473EF"/>
    <w:rsid w:val="00347400"/>
    <w:rsid w:val="00350508"/>
    <w:rsid w:val="0035100C"/>
    <w:rsid w:val="00352769"/>
    <w:rsid w:val="0035411C"/>
    <w:rsid w:val="00354AF0"/>
    <w:rsid w:val="003574A4"/>
    <w:rsid w:val="00360202"/>
    <w:rsid w:val="00360498"/>
    <w:rsid w:val="00361822"/>
    <w:rsid w:val="003641E3"/>
    <w:rsid w:val="00366226"/>
    <w:rsid w:val="003668B6"/>
    <w:rsid w:val="00367E66"/>
    <w:rsid w:val="003713C9"/>
    <w:rsid w:val="0037154A"/>
    <w:rsid w:val="003726AA"/>
    <w:rsid w:val="003727BF"/>
    <w:rsid w:val="0037488E"/>
    <w:rsid w:val="0037506F"/>
    <w:rsid w:val="003751F8"/>
    <w:rsid w:val="0037604C"/>
    <w:rsid w:val="00377948"/>
    <w:rsid w:val="00380F36"/>
    <w:rsid w:val="003816EA"/>
    <w:rsid w:val="003832A9"/>
    <w:rsid w:val="003841F6"/>
    <w:rsid w:val="00384835"/>
    <w:rsid w:val="00385033"/>
    <w:rsid w:val="00385740"/>
    <w:rsid w:val="00385C7A"/>
    <w:rsid w:val="00385D24"/>
    <w:rsid w:val="003861DB"/>
    <w:rsid w:val="003877AE"/>
    <w:rsid w:val="00387987"/>
    <w:rsid w:val="003918B1"/>
    <w:rsid w:val="00392D47"/>
    <w:rsid w:val="00393823"/>
    <w:rsid w:val="00393C7A"/>
    <w:rsid w:val="00393D38"/>
    <w:rsid w:val="00394EFA"/>
    <w:rsid w:val="00396019"/>
    <w:rsid w:val="0039674F"/>
    <w:rsid w:val="00397085"/>
    <w:rsid w:val="003976A6"/>
    <w:rsid w:val="003A06E8"/>
    <w:rsid w:val="003A17A3"/>
    <w:rsid w:val="003A22BA"/>
    <w:rsid w:val="003A2A0A"/>
    <w:rsid w:val="003A30B3"/>
    <w:rsid w:val="003A4667"/>
    <w:rsid w:val="003A4A93"/>
    <w:rsid w:val="003A5579"/>
    <w:rsid w:val="003A581B"/>
    <w:rsid w:val="003B04B1"/>
    <w:rsid w:val="003B0776"/>
    <w:rsid w:val="003B0E30"/>
    <w:rsid w:val="003B127F"/>
    <w:rsid w:val="003B18AC"/>
    <w:rsid w:val="003B1F55"/>
    <w:rsid w:val="003B25D3"/>
    <w:rsid w:val="003B3E46"/>
    <w:rsid w:val="003B470F"/>
    <w:rsid w:val="003B4EF3"/>
    <w:rsid w:val="003B5667"/>
    <w:rsid w:val="003B5921"/>
    <w:rsid w:val="003B5E18"/>
    <w:rsid w:val="003B6105"/>
    <w:rsid w:val="003B6381"/>
    <w:rsid w:val="003B661B"/>
    <w:rsid w:val="003B7390"/>
    <w:rsid w:val="003C12A2"/>
    <w:rsid w:val="003C1BFA"/>
    <w:rsid w:val="003C1C17"/>
    <w:rsid w:val="003C1F2A"/>
    <w:rsid w:val="003C1FE3"/>
    <w:rsid w:val="003C218E"/>
    <w:rsid w:val="003C33D9"/>
    <w:rsid w:val="003C45C9"/>
    <w:rsid w:val="003C5428"/>
    <w:rsid w:val="003C5E89"/>
    <w:rsid w:val="003C68CE"/>
    <w:rsid w:val="003C7235"/>
    <w:rsid w:val="003D0854"/>
    <w:rsid w:val="003D13B0"/>
    <w:rsid w:val="003D18CB"/>
    <w:rsid w:val="003D1E17"/>
    <w:rsid w:val="003D1FCD"/>
    <w:rsid w:val="003D3A19"/>
    <w:rsid w:val="003D45E4"/>
    <w:rsid w:val="003D58DD"/>
    <w:rsid w:val="003D6B9B"/>
    <w:rsid w:val="003D76E0"/>
    <w:rsid w:val="003E0EB3"/>
    <w:rsid w:val="003E2A04"/>
    <w:rsid w:val="003E2D9E"/>
    <w:rsid w:val="003E3DEF"/>
    <w:rsid w:val="003E406B"/>
    <w:rsid w:val="003E4603"/>
    <w:rsid w:val="003E4770"/>
    <w:rsid w:val="003E7949"/>
    <w:rsid w:val="003F01C1"/>
    <w:rsid w:val="003F0EE8"/>
    <w:rsid w:val="003F1FB0"/>
    <w:rsid w:val="003F25ED"/>
    <w:rsid w:val="003F2AF2"/>
    <w:rsid w:val="003F2D0A"/>
    <w:rsid w:val="003F2D37"/>
    <w:rsid w:val="003F3815"/>
    <w:rsid w:val="003F406A"/>
    <w:rsid w:val="003F5200"/>
    <w:rsid w:val="003F5988"/>
    <w:rsid w:val="003F598E"/>
    <w:rsid w:val="003F5F78"/>
    <w:rsid w:val="003F5FE7"/>
    <w:rsid w:val="003F62C2"/>
    <w:rsid w:val="004017AD"/>
    <w:rsid w:val="00402796"/>
    <w:rsid w:val="00402FE8"/>
    <w:rsid w:val="00403F35"/>
    <w:rsid w:val="00405A2F"/>
    <w:rsid w:val="00405A8C"/>
    <w:rsid w:val="00406018"/>
    <w:rsid w:val="00406687"/>
    <w:rsid w:val="00406FCD"/>
    <w:rsid w:val="00407A3A"/>
    <w:rsid w:val="00410EB8"/>
    <w:rsid w:val="00414930"/>
    <w:rsid w:val="00414BEA"/>
    <w:rsid w:val="00415DA5"/>
    <w:rsid w:val="0041609A"/>
    <w:rsid w:val="004175EA"/>
    <w:rsid w:val="00417916"/>
    <w:rsid w:val="004203F8"/>
    <w:rsid w:val="004204D4"/>
    <w:rsid w:val="00420933"/>
    <w:rsid w:val="00420A14"/>
    <w:rsid w:val="00420F2D"/>
    <w:rsid w:val="004210E5"/>
    <w:rsid w:val="00421534"/>
    <w:rsid w:val="004220E3"/>
    <w:rsid w:val="0042346D"/>
    <w:rsid w:val="00423788"/>
    <w:rsid w:val="00424632"/>
    <w:rsid w:val="00426838"/>
    <w:rsid w:val="00426C24"/>
    <w:rsid w:val="00427433"/>
    <w:rsid w:val="00430848"/>
    <w:rsid w:val="00431183"/>
    <w:rsid w:val="00431914"/>
    <w:rsid w:val="00431D5D"/>
    <w:rsid w:val="00432558"/>
    <w:rsid w:val="00432FC4"/>
    <w:rsid w:val="00433DC3"/>
    <w:rsid w:val="004345B2"/>
    <w:rsid w:val="004351CD"/>
    <w:rsid w:val="004352E4"/>
    <w:rsid w:val="004363E3"/>
    <w:rsid w:val="004369AE"/>
    <w:rsid w:val="00437921"/>
    <w:rsid w:val="004404D5"/>
    <w:rsid w:val="0044143E"/>
    <w:rsid w:val="00441F66"/>
    <w:rsid w:val="00442A8E"/>
    <w:rsid w:val="00442CEF"/>
    <w:rsid w:val="00443566"/>
    <w:rsid w:val="0044369A"/>
    <w:rsid w:val="00443ACC"/>
    <w:rsid w:val="00443E47"/>
    <w:rsid w:val="0044402C"/>
    <w:rsid w:val="004445E2"/>
    <w:rsid w:val="004448D3"/>
    <w:rsid w:val="00445EF6"/>
    <w:rsid w:val="004463EB"/>
    <w:rsid w:val="00446B55"/>
    <w:rsid w:val="00446D8C"/>
    <w:rsid w:val="0044717F"/>
    <w:rsid w:val="004507D8"/>
    <w:rsid w:val="00450B1E"/>
    <w:rsid w:val="00450EC8"/>
    <w:rsid w:val="00451527"/>
    <w:rsid w:val="00451791"/>
    <w:rsid w:val="00453593"/>
    <w:rsid w:val="004538C6"/>
    <w:rsid w:val="00453DE7"/>
    <w:rsid w:val="00453DF0"/>
    <w:rsid w:val="0045522C"/>
    <w:rsid w:val="00455BE1"/>
    <w:rsid w:val="00455E8D"/>
    <w:rsid w:val="00460A99"/>
    <w:rsid w:val="00460DC7"/>
    <w:rsid w:val="00460E89"/>
    <w:rsid w:val="00461612"/>
    <w:rsid w:val="00462B56"/>
    <w:rsid w:val="00462D04"/>
    <w:rsid w:val="00463A5B"/>
    <w:rsid w:val="00464282"/>
    <w:rsid w:val="0046652C"/>
    <w:rsid w:val="004674A6"/>
    <w:rsid w:val="004705A2"/>
    <w:rsid w:val="004706D3"/>
    <w:rsid w:val="00470E33"/>
    <w:rsid w:val="00470E4C"/>
    <w:rsid w:val="0047454C"/>
    <w:rsid w:val="00474A79"/>
    <w:rsid w:val="004752E1"/>
    <w:rsid w:val="004755A5"/>
    <w:rsid w:val="00475AB1"/>
    <w:rsid w:val="00475BBD"/>
    <w:rsid w:val="0047714B"/>
    <w:rsid w:val="004774C8"/>
    <w:rsid w:val="0047779C"/>
    <w:rsid w:val="00481E1E"/>
    <w:rsid w:val="0048361F"/>
    <w:rsid w:val="004841C3"/>
    <w:rsid w:val="004844C6"/>
    <w:rsid w:val="004851BB"/>
    <w:rsid w:val="00485366"/>
    <w:rsid w:val="0048557B"/>
    <w:rsid w:val="00490CD3"/>
    <w:rsid w:val="004915FB"/>
    <w:rsid w:val="00492808"/>
    <w:rsid w:val="0049467D"/>
    <w:rsid w:val="00495113"/>
    <w:rsid w:val="0049661B"/>
    <w:rsid w:val="004969F7"/>
    <w:rsid w:val="00497A84"/>
    <w:rsid w:val="004A05B5"/>
    <w:rsid w:val="004A0FF2"/>
    <w:rsid w:val="004A1804"/>
    <w:rsid w:val="004A1F9D"/>
    <w:rsid w:val="004A2229"/>
    <w:rsid w:val="004A35EB"/>
    <w:rsid w:val="004A4799"/>
    <w:rsid w:val="004A4D2B"/>
    <w:rsid w:val="004A50D0"/>
    <w:rsid w:val="004A6C0A"/>
    <w:rsid w:val="004A729C"/>
    <w:rsid w:val="004B0111"/>
    <w:rsid w:val="004B0ACF"/>
    <w:rsid w:val="004B1495"/>
    <w:rsid w:val="004B23E6"/>
    <w:rsid w:val="004B258C"/>
    <w:rsid w:val="004B2BEF"/>
    <w:rsid w:val="004B4C59"/>
    <w:rsid w:val="004B585E"/>
    <w:rsid w:val="004B681E"/>
    <w:rsid w:val="004B6B2C"/>
    <w:rsid w:val="004C05A9"/>
    <w:rsid w:val="004C0823"/>
    <w:rsid w:val="004C0A6B"/>
    <w:rsid w:val="004C13F1"/>
    <w:rsid w:val="004C1C9F"/>
    <w:rsid w:val="004C2AD5"/>
    <w:rsid w:val="004C31F8"/>
    <w:rsid w:val="004C5B39"/>
    <w:rsid w:val="004C5F18"/>
    <w:rsid w:val="004C76EB"/>
    <w:rsid w:val="004C7DAC"/>
    <w:rsid w:val="004D0D1F"/>
    <w:rsid w:val="004D1126"/>
    <w:rsid w:val="004D11BF"/>
    <w:rsid w:val="004D1DAE"/>
    <w:rsid w:val="004D3196"/>
    <w:rsid w:val="004D3B3E"/>
    <w:rsid w:val="004D444E"/>
    <w:rsid w:val="004D50A1"/>
    <w:rsid w:val="004D54EE"/>
    <w:rsid w:val="004D581F"/>
    <w:rsid w:val="004D65BF"/>
    <w:rsid w:val="004D78A7"/>
    <w:rsid w:val="004D7D82"/>
    <w:rsid w:val="004D7D99"/>
    <w:rsid w:val="004E0655"/>
    <w:rsid w:val="004E1837"/>
    <w:rsid w:val="004E18DE"/>
    <w:rsid w:val="004E1DB5"/>
    <w:rsid w:val="004E27F0"/>
    <w:rsid w:val="004E3293"/>
    <w:rsid w:val="004E3577"/>
    <w:rsid w:val="004E3E9E"/>
    <w:rsid w:val="004E4414"/>
    <w:rsid w:val="004E49A0"/>
    <w:rsid w:val="004E54AF"/>
    <w:rsid w:val="004E5CF5"/>
    <w:rsid w:val="004E6570"/>
    <w:rsid w:val="004E69F0"/>
    <w:rsid w:val="004E77B4"/>
    <w:rsid w:val="004E7B97"/>
    <w:rsid w:val="004F163E"/>
    <w:rsid w:val="004F1662"/>
    <w:rsid w:val="004F2116"/>
    <w:rsid w:val="004F3368"/>
    <w:rsid w:val="004F3EFC"/>
    <w:rsid w:val="004F418B"/>
    <w:rsid w:val="004F4566"/>
    <w:rsid w:val="004F4969"/>
    <w:rsid w:val="004F4AEC"/>
    <w:rsid w:val="004F51D0"/>
    <w:rsid w:val="004F5CEE"/>
    <w:rsid w:val="004F64A5"/>
    <w:rsid w:val="004F75B3"/>
    <w:rsid w:val="00500945"/>
    <w:rsid w:val="0050184D"/>
    <w:rsid w:val="00502AA2"/>
    <w:rsid w:val="0050335E"/>
    <w:rsid w:val="00503E12"/>
    <w:rsid w:val="00504968"/>
    <w:rsid w:val="005055A7"/>
    <w:rsid w:val="005068F8"/>
    <w:rsid w:val="00507A8F"/>
    <w:rsid w:val="00510212"/>
    <w:rsid w:val="005104DE"/>
    <w:rsid w:val="005104E0"/>
    <w:rsid w:val="005113D3"/>
    <w:rsid w:val="00511475"/>
    <w:rsid w:val="00512D2E"/>
    <w:rsid w:val="00513CBF"/>
    <w:rsid w:val="005153A0"/>
    <w:rsid w:val="00515902"/>
    <w:rsid w:val="00515AD5"/>
    <w:rsid w:val="005161F0"/>
    <w:rsid w:val="00516C9F"/>
    <w:rsid w:val="00516DD2"/>
    <w:rsid w:val="0051770B"/>
    <w:rsid w:val="00517741"/>
    <w:rsid w:val="00517827"/>
    <w:rsid w:val="00517D82"/>
    <w:rsid w:val="00517E7C"/>
    <w:rsid w:val="00520546"/>
    <w:rsid w:val="00521520"/>
    <w:rsid w:val="00523BC0"/>
    <w:rsid w:val="00524A75"/>
    <w:rsid w:val="00525C88"/>
    <w:rsid w:val="00530327"/>
    <w:rsid w:val="00530EB9"/>
    <w:rsid w:val="005321FE"/>
    <w:rsid w:val="00533518"/>
    <w:rsid w:val="00533CD6"/>
    <w:rsid w:val="00535179"/>
    <w:rsid w:val="0053543C"/>
    <w:rsid w:val="00535629"/>
    <w:rsid w:val="00535D66"/>
    <w:rsid w:val="00536652"/>
    <w:rsid w:val="00540D4F"/>
    <w:rsid w:val="00542085"/>
    <w:rsid w:val="00542CE4"/>
    <w:rsid w:val="00543816"/>
    <w:rsid w:val="005442C8"/>
    <w:rsid w:val="00544E35"/>
    <w:rsid w:val="00545237"/>
    <w:rsid w:val="00545419"/>
    <w:rsid w:val="0054598C"/>
    <w:rsid w:val="005467E8"/>
    <w:rsid w:val="00550196"/>
    <w:rsid w:val="00552094"/>
    <w:rsid w:val="00552424"/>
    <w:rsid w:val="00552C6A"/>
    <w:rsid w:val="005532BA"/>
    <w:rsid w:val="00553805"/>
    <w:rsid w:val="005538FD"/>
    <w:rsid w:val="00554EB6"/>
    <w:rsid w:val="00555126"/>
    <w:rsid w:val="005568B7"/>
    <w:rsid w:val="00556C26"/>
    <w:rsid w:val="00557A12"/>
    <w:rsid w:val="00557BDE"/>
    <w:rsid w:val="00560C35"/>
    <w:rsid w:val="00560C60"/>
    <w:rsid w:val="00562323"/>
    <w:rsid w:val="005623F4"/>
    <w:rsid w:val="005624E7"/>
    <w:rsid w:val="005626F7"/>
    <w:rsid w:val="00562E10"/>
    <w:rsid w:val="0056306C"/>
    <w:rsid w:val="00563A94"/>
    <w:rsid w:val="005641BB"/>
    <w:rsid w:val="005645DE"/>
    <w:rsid w:val="00565F34"/>
    <w:rsid w:val="0056775C"/>
    <w:rsid w:val="0057003D"/>
    <w:rsid w:val="00571EF6"/>
    <w:rsid w:val="00572203"/>
    <w:rsid w:val="00572B4B"/>
    <w:rsid w:val="00574B7B"/>
    <w:rsid w:val="00574C82"/>
    <w:rsid w:val="00576FA7"/>
    <w:rsid w:val="00576FD4"/>
    <w:rsid w:val="0057742D"/>
    <w:rsid w:val="0058299D"/>
    <w:rsid w:val="00582A4E"/>
    <w:rsid w:val="00582D5A"/>
    <w:rsid w:val="00582F95"/>
    <w:rsid w:val="005830EF"/>
    <w:rsid w:val="005831F2"/>
    <w:rsid w:val="005841EB"/>
    <w:rsid w:val="00584A2C"/>
    <w:rsid w:val="00585B2F"/>
    <w:rsid w:val="00586E98"/>
    <w:rsid w:val="00587206"/>
    <w:rsid w:val="00587349"/>
    <w:rsid w:val="0059035D"/>
    <w:rsid w:val="00590401"/>
    <w:rsid w:val="005910AD"/>
    <w:rsid w:val="00591C44"/>
    <w:rsid w:val="005934D3"/>
    <w:rsid w:val="00593E85"/>
    <w:rsid w:val="0059498A"/>
    <w:rsid w:val="00594CF6"/>
    <w:rsid w:val="00595C94"/>
    <w:rsid w:val="00596CC2"/>
    <w:rsid w:val="00597EB2"/>
    <w:rsid w:val="005A0D29"/>
    <w:rsid w:val="005A214A"/>
    <w:rsid w:val="005A2409"/>
    <w:rsid w:val="005A259C"/>
    <w:rsid w:val="005A39A2"/>
    <w:rsid w:val="005A3A16"/>
    <w:rsid w:val="005A507B"/>
    <w:rsid w:val="005A56F9"/>
    <w:rsid w:val="005B004F"/>
    <w:rsid w:val="005B2024"/>
    <w:rsid w:val="005B4D14"/>
    <w:rsid w:val="005B7243"/>
    <w:rsid w:val="005C00A2"/>
    <w:rsid w:val="005C1321"/>
    <w:rsid w:val="005C1CDC"/>
    <w:rsid w:val="005C201B"/>
    <w:rsid w:val="005C2409"/>
    <w:rsid w:val="005C52D0"/>
    <w:rsid w:val="005C52DA"/>
    <w:rsid w:val="005C55D7"/>
    <w:rsid w:val="005C75BE"/>
    <w:rsid w:val="005C7921"/>
    <w:rsid w:val="005C7A07"/>
    <w:rsid w:val="005D0A87"/>
    <w:rsid w:val="005D195B"/>
    <w:rsid w:val="005D214B"/>
    <w:rsid w:val="005D2171"/>
    <w:rsid w:val="005D2C27"/>
    <w:rsid w:val="005D2F85"/>
    <w:rsid w:val="005D3698"/>
    <w:rsid w:val="005D36BB"/>
    <w:rsid w:val="005D3812"/>
    <w:rsid w:val="005D3F88"/>
    <w:rsid w:val="005D401A"/>
    <w:rsid w:val="005D49B8"/>
    <w:rsid w:val="005D4DE3"/>
    <w:rsid w:val="005D573F"/>
    <w:rsid w:val="005D70AE"/>
    <w:rsid w:val="005D78CF"/>
    <w:rsid w:val="005E0BAB"/>
    <w:rsid w:val="005E1BD1"/>
    <w:rsid w:val="005E1C8F"/>
    <w:rsid w:val="005E1EF2"/>
    <w:rsid w:val="005E1F34"/>
    <w:rsid w:val="005E225F"/>
    <w:rsid w:val="005E2ED7"/>
    <w:rsid w:val="005E3C4A"/>
    <w:rsid w:val="005E4E3E"/>
    <w:rsid w:val="005E5A71"/>
    <w:rsid w:val="005E66DB"/>
    <w:rsid w:val="005E7222"/>
    <w:rsid w:val="005E781E"/>
    <w:rsid w:val="005E7AC0"/>
    <w:rsid w:val="005F056A"/>
    <w:rsid w:val="005F0AB4"/>
    <w:rsid w:val="005F0BC6"/>
    <w:rsid w:val="005F20CB"/>
    <w:rsid w:val="005F22E1"/>
    <w:rsid w:val="005F3A4D"/>
    <w:rsid w:val="005F493E"/>
    <w:rsid w:val="005F4E75"/>
    <w:rsid w:val="005F4F70"/>
    <w:rsid w:val="005F4FB0"/>
    <w:rsid w:val="005F5B40"/>
    <w:rsid w:val="005F5E7C"/>
    <w:rsid w:val="005F66C4"/>
    <w:rsid w:val="005F67C3"/>
    <w:rsid w:val="005F7539"/>
    <w:rsid w:val="005F76D7"/>
    <w:rsid w:val="005F78B0"/>
    <w:rsid w:val="00601A68"/>
    <w:rsid w:val="006028C1"/>
    <w:rsid w:val="006029D1"/>
    <w:rsid w:val="00603142"/>
    <w:rsid w:val="0060359F"/>
    <w:rsid w:val="00604330"/>
    <w:rsid w:val="00604B9A"/>
    <w:rsid w:val="00605172"/>
    <w:rsid w:val="00605774"/>
    <w:rsid w:val="00605CF7"/>
    <w:rsid w:val="006062B3"/>
    <w:rsid w:val="006067D4"/>
    <w:rsid w:val="006072B5"/>
    <w:rsid w:val="00607B6D"/>
    <w:rsid w:val="00607D39"/>
    <w:rsid w:val="00610C85"/>
    <w:rsid w:val="00610D49"/>
    <w:rsid w:val="00610F2F"/>
    <w:rsid w:val="00611C04"/>
    <w:rsid w:val="00615F91"/>
    <w:rsid w:val="00616C5B"/>
    <w:rsid w:val="00617079"/>
    <w:rsid w:val="00617C65"/>
    <w:rsid w:val="00620011"/>
    <w:rsid w:val="00620288"/>
    <w:rsid w:val="00620898"/>
    <w:rsid w:val="00620C1A"/>
    <w:rsid w:val="00623A82"/>
    <w:rsid w:val="006242EA"/>
    <w:rsid w:val="00626616"/>
    <w:rsid w:val="0063095A"/>
    <w:rsid w:val="00631168"/>
    <w:rsid w:val="00631F66"/>
    <w:rsid w:val="00632216"/>
    <w:rsid w:val="00632684"/>
    <w:rsid w:val="00632A35"/>
    <w:rsid w:val="006336D9"/>
    <w:rsid w:val="00634586"/>
    <w:rsid w:val="00634FF2"/>
    <w:rsid w:val="00636090"/>
    <w:rsid w:val="0063692F"/>
    <w:rsid w:val="00636A17"/>
    <w:rsid w:val="0063705A"/>
    <w:rsid w:val="00640689"/>
    <w:rsid w:val="00641953"/>
    <w:rsid w:val="0064469D"/>
    <w:rsid w:val="00646917"/>
    <w:rsid w:val="00646C78"/>
    <w:rsid w:val="0064708A"/>
    <w:rsid w:val="006470B0"/>
    <w:rsid w:val="00651567"/>
    <w:rsid w:val="00651615"/>
    <w:rsid w:val="00653505"/>
    <w:rsid w:val="00653A31"/>
    <w:rsid w:val="0065510A"/>
    <w:rsid w:val="006558EC"/>
    <w:rsid w:val="006567FB"/>
    <w:rsid w:val="006602AD"/>
    <w:rsid w:val="00660926"/>
    <w:rsid w:val="006615BF"/>
    <w:rsid w:val="00661919"/>
    <w:rsid w:val="00661F3A"/>
    <w:rsid w:val="0066341B"/>
    <w:rsid w:val="00663676"/>
    <w:rsid w:val="006638CA"/>
    <w:rsid w:val="00663FAA"/>
    <w:rsid w:val="0066556B"/>
    <w:rsid w:val="00665CEB"/>
    <w:rsid w:val="00667A06"/>
    <w:rsid w:val="00671545"/>
    <w:rsid w:val="00671F6A"/>
    <w:rsid w:val="006720DE"/>
    <w:rsid w:val="006746ED"/>
    <w:rsid w:val="00675945"/>
    <w:rsid w:val="00680173"/>
    <w:rsid w:val="0068030B"/>
    <w:rsid w:val="006807CA"/>
    <w:rsid w:val="00680CCC"/>
    <w:rsid w:val="00680D48"/>
    <w:rsid w:val="0068276A"/>
    <w:rsid w:val="006844E3"/>
    <w:rsid w:val="00684629"/>
    <w:rsid w:val="00684A4A"/>
    <w:rsid w:val="00684B1F"/>
    <w:rsid w:val="00684D37"/>
    <w:rsid w:val="00685EA0"/>
    <w:rsid w:val="00687E67"/>
    <w:rsid w:val="00691371"/>
    <w:rsid w:val="00693D1B"/>
    <w:rsid w:val="00694F70"/>
    <w:rsid w:val="006955C5"/>
    <w:rsid w:val="006956D7"/>
    <w:rsid w:val="00695E38"/>
    <w:rsid w:val="00696B4D"/>
    <w:rsid w:val="0069796C"/>
    <w:rsid w:val="006A0604"/>
    <w:rsid w:val="006A1880"/>
    <w:rsid w:val="006A1BC4"/>
    <w:rsid w:val="006A26AE"/>
    <w:rsid w:val="006A297B"/>
    <w:rsid w:val="006A3C32"/>
    <w:rsid w:val="006A3CB5"/>
    <w:rsid w:val="006A3E6E"/>
    <w:rsid w:val="006A3F7D"/>
    <w:rsid w:val="006A47E1"/>
    <w:rsid w:val="006A4EE0"/>
    <w:rsid w:val="006A6617"/>
    <w:rsid w:val="006A6CC5"/>
    <w:rsid w:val="006A7104"/>
    <w:rsid w:val="006A7462"/>
    <w:rsid w:val="006A74F0"/>
    <w:rsid w:val="006B1A9A"/>
    <w:rsid w:val="006B2655"/>
    <w:rsid w:val="006B2971"/>
    <w:rsid w:val="006B33BD"/>
    <w:rsid w:val="006B3FF4"/>
    <w:rsid w:val="006B4EDE"/>
    <w:rsid w:val="006C0E53"/>
    <w:rsid w:val="006C21A1"/>
    <w:rsid w:val="006C25AD"/>
    <w:rsid w:val="006C2D50"/>
    <w:rsid w:val="006C3EF7"/>
    <w:rsid w:val="006C42BE"/>
    <w:rsid w:val="006C4C31"/>
    <w:rsid w:val="006C4ED6"/>
    <w:rsid w:val="006C56BC"/>
    <w:rsid w:val="006C5E4E"/>
    <w:rsid w:val="006C6241"/>
    <w:rsid w:val="006C68AF"/>
    <w:rsid w:val="006C6D49"/>
    <w:rsid w:val="006C7013"/>
    <w:rsid w:val="006C7A48"/>
    <w:rsid w:val="006D00D7"/>
    <w:rsid w:val="006D0DE7"/>
    <w:rsid w:val="006D0E46"/>
    <w:rsid w:val="006D329E"/>
    <w:rsid w:val="006D3D04"/>
    <w:rsid w:val="006D59E1"/>
    <w:rsid w:val="006D62D6"/>
    <w:rsid w:val="006D62D7"/>
    <w:rsid w:val="006E013C"/>
    <w:rsid w:val="006E14B0"/>
    <w:rsid w:val="006E3F65"/>
    <w:rsid w:val="006E44DB"/>
    <w:rsid w:val="006E4CD3"/>
    <w:rsid w:val="006E5F87"/>
    <w:rsid w:val="006E6B5B"/>
    <w:rsid w:val="006E77CC"/>
    <w:rsid w:val="006E795A"/>
    <w:rsid w:val="006F023F"/>
    <w:rsid w:val="006F309F"/>
    <w:rsid w:val="006F3400"/>
    <w:rsid w:val="006F362E"/>
    <w:rsid w:val="006F3675"/>
    <w:rsid w:val="006F3897"/>
    <w:rsid w:val="006F3968"/>
    <w:rsid w:val="006F3E46"/>
    <w:rsid w:val="006F4CB7"/>
    <w:rsid w:val="006F55B6"/>
    <w:rsid w:val="006F79F2"/>
    <w:rsid w:val="006F7FFA"/>
    <w:rsid w:val="00700F8B"/>
    <w:rsid w:val="00702355"/>
    <w:rsid w:val="0070263E"/>
    <w:rsid w:val="00703E13"/>
    <w:rsid w:val="00705105"/>
    <w:rsid w:val="00705976"/>
    <w:rsid w:val="007064DA"/>
    <w:rsid w:val="00706522"/>
    <w:rsid w:val="0070692A"/>
    <w:rsid w:val="007069C5"/>
    <w:rsid w:val="00707785"/>
    <w:rsid w:val="00707DB5"/>
    <w:rsid w:val="0071006A"/>
    <w:rsid w:val="00710B4A"/>
    <w:rsid w:val="00713A7D"/>
    <w:rsid w:val="00714CDE"/>
    <w:rsid w:val="007169A9"/>
    <w:rsid w:val="00717DFC"/>
    <w:rsid w:val="00720089"/>
    <w:rsid w:val="007201CF"/>
    <w:rsid w:val="00720C23"/>
    <w:rsid w:val="00720EDC"/>
    <w:rsid w:val="00720F95"/>
    <w:rsid w:val="00722546"/>
    <w:rsid w:val="007227EC"/>
    <w:rsid w:val="007231D4"/>
    <w:rsid w:val="007239B7"/>
    <w:rsid w:val="00723A4B"/>
    <w:rsid w:val="00723CE5"/>
    <w:rsid w:val="0072673C"/>
    <w:rsid w:val="00727A16"/>
    <w:rsid w:val="007304BB"/>
    <w:rsid w:val="00731CAA"/>
    <w:rsid w:val="00732149"/>
    <w:rsid w:val="00734B9A"/>
    <w:rsid w:val="00735ED4"/>
    <w:rsid w:val="00736239"/>
    <w:rsid w:val="007369EF"/>
    <w:rsid w:val="007370EA"/>
    <w:rsid w:val="00737A40"/>
    <w:rsid w:val="00740773"/>
    <w:rsid w:val="00740DB5"/>
    <w:rsid w:val="007419C2"/>
    <w:rsid w:val="0074233D"/>
    <w:rsid w:val="00743BE7"/>
    <w:rsid w:val="00744018"/>
    <w:rsid w:val="00745692"/>
    <w:rsid w:val="007457A5"/>
    <w:rsid w:val="00745E7E"/>
    <w:rsid w:val="00746E29"/>
    <w:rsid w:val="0074763A"/>
    <w:rsid w:val="00750FB7"/>
    <w:rsid w:val="00751605"/>
    <w:rsid w:val="00751EA9"/>
    <w:rsid w:val="00753167"/>
    <w:rsid w:val="00753AA1"/>
    <w:rsid w:val="00753DEF"/>
    <w:rsid w:val="00753F80"/>
    <w:rsid w:val="00754FED"/>
    <w:rsid w:val="00756B09"/>
    <w:rsid w:val="007571F3"/>
    <w:rsid w:val="007572A9"/>
    <w:rsid w:val="007606DF"/>
    <w:rsid w:val="007613B0"/>
    <w:rsid w:val="00764363"/>
    <w:rsid w:val="007643CE"/>
    <w:rsid w:val="0076440A"/>
    <w:rsid w:val="00764B80"/>
    <w:rsid w:val="00765A17"/>
    <w:rsid w:val="00765F72"/>
    <w:rsid w:val="00767AD6"/>
    <w:rsid w:val="00767B8F"/>
    <w:rsid w:val="00770BF4"/>
    <w:rsid w:val="007719E8"/>
    <w:rsid w:val="00772979"/>
    <w:rsid w:val="0077320B"/>
    <w:rsid w:val="00773BB6"/>
    <w:rsid w:val="00774381"/>
    <w:rsid w:val="0077491D"/>
    <w:rsid w:val="00774B83"/>
    <w:rsid w:val="00775188"/>
    <w:rsid w:val="007762C4"/>
    <w:rsid w:val="00780C3D"/>
    <w:rsid w:val="00780D9E"/>
    <w:rsid w:val="0078163E"/>
    <w:rsid w:val="00783E31"/>
    <w:rsid w:val="00784E04"/>
    <w:rsid w:val="007879EB"/>
    <w:rsid w:val="007915A0"/>
    <w:rsid w:val="00792541"/>
    <w:rsid w:val="00793018"/>
    <w:rsid w:val="0079331F"/>
    <w:rsid w:val="00793E67"/>
    <w:rsid w:val="00795699"/>
    <w:rsid w:val="00796359"/>
    <w:rsid w:val="00796474"/>
    <w:rsid w:val="00797079"/>
    <w:rsid w:val="0079764D"/>
    <w:rsid w:val="00797AB1"/>
    <w:rsid w:val="007A07CD"/>
    <w:rsid w:val="007A0A61"/>
    <w:rsid w:val="007A2E72"/>
    <w:rsid w:val="007A33BA"/>
    <w:rsid w:val="007A4266"/>
    <w:rsid w:val="007A44B7"/>
    <w:rsid w:val="007A4A35"/>
    <w:rsid w:val="007A5833"/>
    <w:rsid w:val="007A58B4"/>
    <w:rsid w:val="007A741C"/>
    <w:rsid w:val="007A766A"/>
    <w:rsid w:val="007B1D8D"/>
    <w:rsid w:val="007B1DB7"/>
    <w:rsid w:val="007B2FE1"/>
    <w:rsid w:val="007B323E"/>
    <w:rsid w:val="007B3A69"/>
    <w:rsid w:val="007B3E39"/>
    <w:rsid w:val="007B47F5"/>
    <w:rsid w:val="007B54E8"/>
    <w:rsid w:val="007B660F"/>
    <w:rsid w:val="007B744A"/>
    <w:rsid w:val="007C1881"/>
    <w:rsid w:val="007C2739"/>
    <w:rsid w:val="007C3F39"/>
    <w:rsid w:val="007C4794"/>
    <w:rsid w:val="007C4933"/>
    <w:rsid w:val="007C74B6"/>
    <w:rsid w:val="007C78F7"/>
    <w:rsid w:val="007C7B2B"/>
    <w:rsid w:val="007D0744"/>
    <w:rsid w:val="007D080A"/>
    <w:rsid w:val="007D136F"/>
    <w:rsid w:val="007D4B04"/>
    <w:rsid w:val="007D56D4"/>
    <w:rsid w:val="007D594F"/>
    <w:rsid w:val="007D6AC2"/>
    <w:rsid w:val="007D6D40"/>
    <w:rsid w:val="007D700B"/>
    <w:rsid w:val="007E0332"/>
    <w:rsid w:val="007E0D30"/>
    <w:rsid w:val="007E1B6D"/>
    <w:rsid w:val="007E1D04"/>
    <w:rsid w:val="007E25BE"/>
    <w:rsid w:val="007E2881"/>
    <w:rsid w:val="007E33A8"/>
    <w:rsid w:val="007E34C7"/>
    <w:rsid w:val="007E3776"/>
    <w:rsid w:val="007E390D"/>
    <w:rsid w:val="007E3D5E"/>
    <w:rsid w:val="007E4658"/>
    <w:rsid w:val="007E4C28"/>
    <w:rsid w:val="007E4E20"/>
    <w:rsid w:val="007E4F0C"/>
    <w:rsid w:val="007E5DBD"/>
    <w:rsid w:val="007E7791"/>
    <w:rsid w:val="007E7F2A"/>
    <w:rsid w:val="007F094A"/>
    <w:rsid w:val="007F1561"/>
    <w:rsid w:val="007F1671"/>
    <w:rsid w:val="007F1B7F"/>
    <w:rsid w:val="007F2345"/>
    <w:rsid w:val="007F255B"/>
    <w:rsid w:val="007F283A"/>
    <w:rsid w:val="007F2E2C"/>
    <w:rsid w:val="007F4122"/>
    <w:rsid w:val="007F46F1"/>
    <w:rsid w:val="007F4A8B"/>
    <w:rsid w:val="007F56EA"/>
    <w:rsid w:val="007F64E7"/>
    <w:rsid w:val="0080005C"/>
    <w:rsid w:val="008017B2"/>
    <w:rsid w:val="008027A4"/>
    <w:rsid w:val="00802A12"/>
    <w:rsid w:val="00803688"/>
    <w:rsid w:val="00803715"/>
    <w:rsid w:val="008037DC"/>
    <w:rsid w:val="0080381B"/>
    <w:rsid w:val="00803A26"/>
    <w:rsid w:val="0080478C"/>
    <w:rsid w:val="008048A9"/>
    <w:rsid w:val="00804C6A"/>
    <w:rsid w:val="0081036C"/>
    <w:rsid w:val="0081060F"/>
    <w:rsid w:val="00810C1D"/>
    <w:rsid w:val="00810D77"/>
    <w:rsid w:val="008117E1"/>
    <w:rsid w:val="00811DF3"/>
    <w:rsid w:val="00812538"/>
    <w:rsid w:val="00812FB7"/>
    <w:rsid w:val="008130B6"/>
    <w:rsid w:val="008130E6"/>
    <w:rsid w:val="00813276"/>
    <w:rsid w:val="008133A3"/>
    <w:rsid w:val="00817867"/>
    <w:rsid w:val="00821680"/>
    <w:rsid w:val="008246ED"/>
    <w:rsid w:val="008257D0"/>
    <w:rsid w:val="00830AA6"/>
    <w:rsid w:val="0083113C"/>
    <w:rsid w:val="0083115C"/>
    <w:rsid w:val="008321E7"/>
    <w:rsid w:val="00832886"/>
    <w:rsid w:val="00832A00"/>
    <w:rsid w:val="00834319"/>
    <w:rsid w:val="00834B1F"/>
    <w:rsid w:val="00834E03"/>
    <w:rsid w:val="0083536B"/>
    <w:rsid w:val="008379B2"/>
    <w:rsid w:val="00841F47"/>
    <w:rsid w:val="00843456"/>
    <w:rsid w:val="0084519E"/>
    <w:rsid w:val="00846C0F"/>
    <w:rsid w:val="00847473"/>
    <w:rsid w:val="008508DC"/>
    <w:rsid w:val="0085150F"/>
    <w:rsid w:val="00851603"/>
    <w:rsid w:val="0085294F"/>
    <w:rsid w:val="00854189"/>
    <w:rsid w:val="00854391"/>
    <w:rsid w:val="008547EC"/>
    <w:rsid w:val="00854B4E"/>
    <w:rsid w:val="0085513D"/>
    <w:rsid w:val="008554A7"/>
    <w:rsid w:val="00855A70"/>
    <w:rsid w:val="0085748C"/>
    <w:rsid w:val="00860859"/>
    <w:rsid w:val="00860D91"/>
    <w:rsid w:val="0086245E"/>
    <w:rsid w:val="00863467"/>
    <w:rsid w:val="008635AD"/>
    <w:rsid w:val="00864832"/>
    <w:rsid w:val="008658E8"/>
    <w:rsid w:val="008678A4"/>
    <w:rsid w:val="00867D89"/>
    <w:rsid w:val="00870D2F"/>
    <w:rsid w:val="008713B8"/>
    <w:rsid w:val="008713CE"/>
    <w:rsid w:val="00871949"/>
    <w:rsid w:val="00871EA5"/>
    <w:rsid w:val="00872812"/>
    <w:rsid w:val="00873EB2"/>
    <w:rsid w:val="008764AE"/>
    <w:rsid w:val="008775C7"/>
    <w:rsid w:val="00880B8C"/>
    <w:rsid w:val="00881212"/>
    <w:rsid w:val="008819E2"/>
    <w:rsid w:val="00881CD2"/>
    <w:rsid w:val="00881DF6"/>
    <w:rsid w:val="00881DF8"/>
    <w:rsid w:val="0088289E"/>
    <w:rsid w:val="00882A0A"/>
    <w:rsid w:val="008841C7"/>
    <w:rsid w:val="00884283"/>
    <w:rsid w:val="00885437"/>
    <w:rsid w:val="008855C4"/>
    <w:rsid w:val="00887279"/>
    <w:rsid w:val="00890B45"/>
    <w:rsid w:val="00892DAB"/>
    <w:rsid w:val="00892F57"/>
    <w:rsid w:val="00893BEB"/>
    <w:rsid w:val="00894820"/>
    <w:rsid w:val="00894BCD"/>
    <w:rsid w:val="008955D5"/>
    <w:rsid w:val="00895FF0"/>
    <w:rsid w:val="008A003A"/>
    <w:rsid w:val="008A010A"/>
    <w:rsid w:val="008A011B"/>
    <w:rsid w:val="008A0342"/>
    <w:rsid w:val="008A1E31"/>
    <w:rsid w:val="008A1FEA"/>
    <w:rsid w:val="008A2130"/>
    <w:rsid w:val="008A2634"/>
    <w:rsid w:val="008A3478"/>
    <w:rsid w:val="008A4258"/>
    <w:rsid w:val="008A44E9"/>
    <w:rsid w:val="008A4778"/>
    <w:rsid w:val="008A4D7B"/>
    <w:rsid w:val="008A4F92"/>
    <w:rsid w:val="008A55DC"/>
    <w:rsid w:val="008A6481"/>
    <w:rsid w:val="008A77A0"/>
    <w:rsid w:val="008B0906"/>
    <w:rsid w:val="008B0AF1"/>
    <w:rsid w:val="008B1382"/>
    <w:rsid w:val="008B138A"/>
    <w:rsid w:val="008B2B9D"/>
    <w:rsid w:val="008B35E2"/>
    <w:rsid w:val="008B4863"/>
    <w:rsid w:val="008B4974"/>
    <w:rsid w:val="008B747A"/>
    <w:rsid w:val="008B7CFE"/>
    <w:rsid w:val="008C11DB"/>
    <w:rsid w:val="008C1D2D"/>
    <w:rsid w:val="008C529F"/>
    <w:rsid w:val="008C5B78"/>
    <w:rsid w:val="008C5EBB"/>
    <w:rsid w:val="008C6310"/>
    <w:rsid w:val="008C6921"/>
    <w:rsid w:val="008C74C3"/>
    <w:rsid w:val="008D083B"/>
    <w:rsid w:val="008D13E3"/>
    <w:rsid w:val="008D1CA3"/>
    <w:rsid w:val="008D2E49"/>
    <w:rsid w:val="008D337B"/>
    <w:rsid w:val="008D4C38"/>
    <w:rsid w:val="008D502E"/>
    <w:rsid w:val="008D6D38"/>
    <w:rsid w:val="008D7232"/>
    <w:rsid w:val="008D77F9"/>
    <w:rsid w:val="008D79E2"/>
    <w:rsid w:val="008E00C9"/>
    <w:rsid w:val="008E02C3"/>
    <w:rsid w:val="008E059F"/>
    <w:rsid w:val="008E0C9C"/>
    <w:rsid w:val="008E1EB5"/>
    <w:rsid w:val="008E1F47"/>
    <w:rsid w:val="008E22A2"/>
    <w:rsid w:val="008E235B"/>
    <w:rsid w:val="008E2D21"/>
    <w:rsid w:val="008E436F"/>
    <w:rsid w:val="008E4BE0"/>
    <w:rsid w:val="008E5136"/>
    <w:rsid w:val="008E514E"/>
    <w:rsid w:val="008E52DC"/>
    <w:rsid w:val="008E6064"/>
    <w:rsid w:val="008E66F1"/>
    <w:rsid w:val="008E7DB3"/>
    <w:rsid w:val="008F137E"/>
    <w:rsid w:val="008F26C6"/>
    <w:rsid w:val="008F2A85"/>
    <w:rsid w:val="008F2ECD"/>
    <w:rsid w:val="008F38FB"/>
    <w:rsid w:val="008F534F"/>
    <w:rsid w:val="008F6A90"/>
    <w:rsid w:val="008F7367"/>
    <w:rsid w:val="009001F4"/>
    <w:rsid w:val="009002B3"/>
    <w:rsid w:val="009003AA"/>
    <w:rsid w:val="009016B9"/>
    <w:rsid w:val="00901AFA"/>
    <w:rsid w:val="0090228F"/>
    <w:rsid w:val="00902CCB"/>
    <w:rsid w:val="0090338A"/>
    <w:rsid w:val="00903886"/>
    <w:rsid w:val="009059F0"/>
    <w:rsid w:val="00907ACA"/>
    <w:rsid w:val="00907F17"/>
    <w:rsid w:val="00910FC1"/>
    <w:rsid w:val="0091115F"/>
    <w:rsid w:val="00911258"/>
    <w:rsid w:val="00911613"/>
    <w:rsid w:val="00911EC1"/>
    <w:rsid w:val="00911F74"/>
    <w:rsid w:val="009123DF"/>
    <w:rsid w:val="00912A43"/>
    <w:rsid w:val="00912AC7"/>
    <w:rsid w:val="00913476"/>
    <w:rsid w:val="00913948"/>
    <w:rsid w:val="0091439E"/>
    <w:rsid w:val="009160E0"/>
    <w:rsid w:val="009164DF"/>
    <w:rsid w:val="009200F9"/>
    <w:rsid w:val="00920374"/>
    <w:rsid w:val="00920A65"/>
    <w:rsid w:val="00921713"/>
    <w:rsid w:val="00922FAB"/>
    <w:rsid w:val="009247CC"/>
    <w:rsid w:val="00925D4A"/>
    <w:rsid w:val="00927866"/>
    <w:rsid w:val="00927FD3"/>
    <w:rsid w:val="00930136"/>
    <w:rsid w:val="00931665"/>
    <w:rsid w:val="00932AF1"/>
    <w:rsid w:val="00933D73"/>
    <w:rsid w:val="00934B5F"/>
    <w:rsid w:val="00935C63"/>
    <w:rsid w:val="00935EE8"/>
    <w:rsid w:val="009363EE"/>
    <w:rsid w:val="00936A10"/>
    <w:rsid w:val="00936E9D"/>
    <w:rsid w:val="009376B6"/>
    <w:rsid w:val="00941743"/>
    <w:rsid w:val="00941A9C"/>
    <w:rsid w:val="00943EEF"/>
    <w:rsid w:val="00944D43"/>
    <w:rsid w:val="009466CA"/>
    <w:rsid w:val="00946F16"/>
    <w:rsid w:val="00947FCC"/>
    <w:rsid w:val="009501BF"/>
    <w:rsid w:val="00950390"/>
    <w:rsid w:val="009508AF"/>
    <w:rsid w:val="009511F7"/>
    <w:rsid w:val="00951CAF"/>
    <w:rsid w:val="00951F8A"/>
    <w:rsid w:val="009524F7"/>
    <w:rsid w:val="00952D84"/>
    <w:rsid w:val="009540DA"/>
    <w:rsid w:val="00956204"/>
    <w:rsid w:val="009565CB"/>
    <w:rsid w:val="009570D0"/>
    <w:rsid w:val="00957334"/>
    <w:rsid w:val="00957441"/>
    <w:rsid w:val="0095757B"/>
    <w:rsid w:val="00960467"/>
    <w:rsid w:val="009612C9"/>
    <w:rsid w:val="00962500"/>
    <w:rsid w:val="00962BF6"/>
    <w:rsid w:val="00962E3D"/>
    <w:rsid w:val="009643A5"/>
    <w:rsid w:val="00965599"/>
    <w:rsid w:val="00965E3D"/>
    <w:rsid w:val="009674C6"/>
    <w:rsid w:val="0097011E"/>
    <w:rsid w:val="0097060D"/>
    <w:rsid w:val="0097109C"/>
    <w:rsid w:val="00972545"/>
    <w:rsid w:val="00972B96"/>
    <w:rsid w:val="00972FE1"/>
    <w:rsid w:val="0097343E"/>
    <w:rsid w:val="009750E2"/>
    <w:rsid w:val="009758DA"/>
    <w:rsid w:val="009758EF"/>
    <w:rsid w:val="00981172"/>
    <w:rsid w:val="00981554"/>
    <w:rsid w:val="0098205C"/>
    <w:rsid w:val="0098225C"/>
    <w:rsid w:val="00982D64"/>
    <w:rsid w:val="0098301B"/>
    <w:rsid w:val="00983815"/>
    <w:rsid w:val="009838D8"/>
    <w:rsid w:val="00983D8A"/>
    <w:rsid w:val="00983E5D"/>
    <w:rsid w:val="00983E8E"/>
    <w:rsid w:val="009849ED"/>
    <w:rsid w:val="00984AD4"/>
    <w:rsid w:val="00984C20"/>
    <w:rsid w:val="009850F8"/>
    <w:rsid w:val="00985734"/>
    <w:rsid w:val="009862A0"/>
    <w:rsid w:val="00987528"/>
    <w:rsid w:val="00987E0E"/>
    <w:rsid w:val="00992FF9"/>
    <w:rsid w:val="00993056"/>
    <w:rsid w:val="00994239"/>
    <w:rsid w:val="00996D0B"/>
    <w:rsid w:val="00997B92"/>
    <w:rsid w:val="009A0283"/>
    <w:rsid w:val="009A0837"/>
    <w:rsid w:val="009A0A1A"/>
    <w:rsid w:val="009A16EB"/>
    <w:rsid w:val="009A372D"/>
    <w:rsid w:val="009A3D9E"/>
    <w:rsid w:val="009A4C98"/>
    <w:rsid w:val="009B0495"/>
    <w:rsid w:val="009B3473"/>
    <w:rsid w:val="009B3936"/>
    <w:rsid w:val="009B4FA0"/>
    <w:rsid w:val="009B6622"/>
    <w:rsid w:val="009B7903"/>
    <w:rsid w:val="009C0154"/>
    <w:rsid w:val="009C02DF"/>
    <w:rsid w:val="009C20D1"/>
    <w:rsid w:val="009C226F"/>
    <w:rsid w:val="009C2BE4"/>
    <w:rsid w:val="009C3D54"/>
    <w:rsid w:val="009C442F"/>
    <w:rsid w:val="009C54CD"/>
    <w:rsid w:val="009C5C9C"/>
    <w:rsid w:val="009D02B9"/>
    <w:rsid w:val="009D1CA1"/>
    <w:rsid w:val="009D25B3"/>
    <w:rsid w:val="009D28DF"/>
    <w:rsid w:val="009D32AE"/>
    <w:rsid w:val="009D4DA1"/>
    <w:rsid w:val="009D5718"/>
    <w:rsid w:val="009D5E8D"/>
    <w:rsid w:val="009D736A"/>
    <w:rsid w:val="009D73D3"/>
    <w:rsid w:val="009D75F7"/>
    <w:rsid w:val="009D7676"/>
    <w:rsid w:val="009D7C70"/>
    <w:rsid w:val="009D7D49"/>
    <w:rsid w:val="009E05D3"/>
    <w:rsid w:val="009E0F61"/>
    <w:rsid w:val="009E538A"/>
    <w:rsid w:val="009E5846"/>
    <w:rsid w:val="009E5D14"/>
    <w:rsid w:val="009E729E"/>
    <w:rsid w:val="009E7EA4"/>
    <w:rsid w:val="009F02C3"/>
    <w:rsid w:val="009F0D47"/>
    <w:rsid w:val="009F2238"/>
    <w:rsid w:val="009F24B1"/>
    <w:rsid w:val="009F41E5"/>
    <w:rsid w:val="009F547E"/>
    <w:rsid w:val="009F560F"/>
    <w:rsid w:val="009F5AEF"/>
    <w:rsid w:val="009F6881"/>
    <w:rsid w:val="009F6F4F"/>
    <w:rsid w:val="009F74D7"/>
    <w:rsid w:val="009F763D"/>
    <w:rsid w:val="00A01EB5"/>
    <w:rsid w:val="00A02874"/>
    <w:rsid w:val="00A02D00"/>
    <w:rsid w:val="00A035B7"/>
    <w:rsid w:val="00A03ACD"/>
    <w:rsid w:val="00A04DFA"/>
    <w:rsid w:val="00A053BB"/>
    <w:rsid w:val="00A05930"/>
    <w:rsid w:val="00A10016"/>
    <w:rsid w:val="00A1137A"/>
    <w:rsid w:val="00A11582"/>
    <w:rsid w:val="00A1182F"/>
    <w:rsid w:val="00A1184E"/>
    <w:rsid w:val="00A11D7F"/>
    <w:rsid w:val="00A120E0"/>
    <w:rsid w:val="00A12484"/>
    <w:rsid w:val="00A13535"/>
    <w:rsid w:val="00A149F7"/>
    <w:rsid w:val="00A14E4E"/>
    <w:rsid w:val="00A16110"/>
    <w:rsid w:val="00A16438"/>
    <w:rsid w:val="00A16FBE"/>
    <w:rsid w:val="00A17DC4"/>
    <w:rsid w:val="00A17E08"/>
    <w:rsid w:val="00A216D6"/>
    <w:rsid w:val="00A222D5"/>
    <w:rsid w:val="00A22782"/>
    <w:rsid w:val="00A23BC2"/>
    <w:rsid w:val="00A24270"/>
    <w:rsid w:val="00A24BC3"/>
    <w:rsid w:val="00A264CE"/>
    <w:rsid w:val="00A26A0E"/>
    <w:rsid w:val="00A270B5"/>
    <w:rsid w:val="00A27A1A"/>
    <w:rsid w:val="00A304F2"/>
    <w:rsid w:val="00A3059B"/>
    <w:rsid w:val="00A3088A"/>
    <w:rsid w:val="00A31EBF"/>
    <w:rsid w:val="00A34628"/>
    <w:rsid w:val="00A35370"/>
    <w:rsid w:val="00A37D7A"/>
    <w:rsid w:val="00A37D86"/>
    <w:rsid w:val="00A37DC2"/>
    <w:rsid w:val="00A4043A"/>
    <w:rsid w:val="00A43535"/>
    <w:rsid w:val="00A437C8"/>
    <w:rsid w:val="00A4433B"/>
    <w:rsid w:val="00A459BA"/>
    <w:rsid w:val="00A45D02"/>
    <w:rsid w:val="00A468C2"/>
    <w:rsid w:val="00A46C3D"/>
    <w:rsid w:val="00A4712B"/>
    <w:rsid w:val="00A47D74"/>
    <w:rsid w:val="00A500A4"/>
    <w:rsid w:val="00A51427"/>
    <w:rsid w:val="00A519DD"/>
    <w:rsid w:val="00A51F53"/>
    <w:rsid w:val="00A52F3E"/>
    <w:rsid w:val="00A5362A"/>
    <w:rsid w:val="00A53923"/>
    <w:rsid w:val="00A53B14"/>
    <w:rsid w:val="00A563C2"/>
    <w:rsid w:val="00A563F3"/>
    <w:rsid w:val="00A5724F"/>
    <w:rsid w:val="00A57335"/>
    <w:rsid w:val="00A5793D"/>
    <w:rsid w:val="00A60115"/>
    <w:rsid w:val="00A60753"/>
    <w:rsid w:val="00A6126A"/>
    <w:rsid w:val="00A61691"/>
    <w:rsid w:val="00A61982"/>
    <w:rsid w:val="00A62691"/>
    <w:rsid w:val="00A627DC"/>
    <w:rsid w:val="00A631EA"/>
    <w:rsid w:val="00A646F7"/>
    <w:rsid w:val="00A65D45"/>
    <w:rsid w:val="00A67249"/>
    <w:rsid w:val="00A6744A"/>
    <w:rsid w:val="00A67847"/>
    <w:rsid w:val="00A705BC"/>
    <w:rsid w:val="00A7188A"/>
    <w:rsid w:val="00A725B2"/>
    <w:rsid w:val="00A726E9"/>
    <w:rsid w:val="00A72A28"/>
    <w:rsid w:val="00A74937"/>
    <w:rsid w:val="00A74F5C"/>
    <w:rsid w:val="00A75BA0"/>
    <w:rsid w:val="00A77596"/>
    <w:rsid w:val="00A807BC"/>
    <w:rsid w:val="00A810AD"/>
    <w:rsid w:val="00A81D62"/>
    <w:rsid w:val="00A845DF"/>
    <w:rsid w:val="00A8514E"/>
    <w:rsid w:val="00A853A4"/>
    <w:rsid w:val="00A862AF"/>
    <w:rsid w:val="00A8681E"/>
    <w:rsid w:val="00A86DEE"/>
    <w:rsid w:val="00A8736F"/>
    <w:rsid w:val="00A8756F"/>
    <w:rsid w:val="00A9029A"/>
    <w:rsid w:val="00A909E5"/>
    <w:rsid w:val="00A90B68"/>
    <w:rsid w:val="00A90F62"/>
    <w:rsid w:val="00A9116A"/>
    <w:rsid w:val="00A92893"/>
    <w:rsid w:val="00A93D47"/>
    <w:rsid w:val="00A941F4"/>
    <w:rsid w:val="00A94719"/>
    <w:rsid w:val="00A95168"/>
    <w:rsid w:val="00A96F69"/>
    <w:rsid w:val="00A97CA9"/>
    <w:rsid w:val="00AA151E"/>
    <w:rsid w:val="00AA25E0"/>
    <w:rsid w:val="00AA3F8E"/>
    <w:rsid w:val="00AA60FB"/>
    <w:rsid w:val="00AB131A"/>
    <w:rsid w:val="00AB202A"/>
    <w:rsid w:val="00AB217D"/>
    <w:rsid w:val="00AB29BD"/>
    <w:rsid w:val="00AB2E58"/>
    <w:rsid w:val="00AB3903"/>
    <w:rsid w:val="00AB4BE9"/>
    <w:rsid w:val="00AB51D7"/>
    <w:rsid w:val="00AB65D0"/>
    <w:rsid w:val="00AB7C1E"/>
    <w:rsid w:val="00AC054D"/>
    <w:rsid w:val="00AC1858"/>
    <w:rsid w:val="00AC1F81"/>
    <w:rsid w:val="00AC24C4"/>
    <w:rsid w:val="00AC2BF9"/>
    <w:rsid w:val="00AC2D9F"/>
    <w:rsid w:val="00AC486E"/>
    <w:rsid w:val="00AC5908"/>
    <w:rsid w:val="00AC5E69"/>
    <w:rsid w:val="00AC6DA4"/>
    <w:rsid w:val="00AC7A80"/>
    <w:rsid w:val="00AC7FCA"/>
    <w:rsid w:val="00AD0ECB"/>
    <w:rsid w:val="00AD1009"/>
    <w:rsid w:val="00AD1CB5"/>
    <w:rsid w:val="00AD427C"/>
    <w:rsid w:val="00AD4B3E"/>
    <w:rsid w:val="00AD4EBD"/>
    <w:rsid w:val="00AD568A"/>
    <w:rsid w:val="00AD671F"/>
    <w:rsid w:val="00AD682D"/>
    <w:rsid w:val="00AE33C9"/>
    <w:rsid w:val="00AE36F7"/>
    <w:rsid w:val="00AE3FD2"/>
    <w:rsid w:val="00AE5454"/>
    <w:rsid w:val="00AE55F6"/>
    <w:rsid w:val="00AE5B8F"/>
    <w:rsid w:val="00AE62D8"/>
    <w:rsid w:val="00AE7821"/>
    <w:rsid w:val="00AE7858"/>
    <w:rsid w:val="00AF02B6"/>
    <w:rsid w:val="00AF0A98"/>
    <w:rsid w:val="00AF1D5B"/>
    <w:rsid w:val="00AF279A"/>
    <w:rsid w:val="00AF30A9"/>
    <w:rsid w:val="00AF35F3"/>
    <w:rsid w:val="00AF3988"/>
    <w:rsid w:val="00AF43CB"/>
    <w:rsid w:val="00AF44D9"/>
    <w:rsid w:val="00AF51C8"/>
    <w:rsid w:val="00AF6692"/>
    <w:rsid w:val="00AF716A"/>
    <w:rsid w:val="00AF72AE"/>
    <w:rsid w:val="00B009B0"/>
    <w:rsid w:val="00B00F81"/>
    <w:rsid w:val="00B01058"/>
    <w:rsid w:val="00B01759"/>
    <w:rsid w:val="00B0233A"/>
    <w:rsid w:val="00B023A3"/>
    <w:rsid w:val="00B03119"/>
    <w:rsid w:val="00B032B8"/>
    <w:rsid w:val="00B04CFC"/>
    <w:rsid w:val="00B0525F"/>
    <w:rsid w:val="00B056FA"/>
    <w:rsid w:val="00B05ACA"/>
    <w:rsid w:val="00B05B4E"/>
    <w:rsid w:val="00B06661"/>
    <w:rsid w:val="00B069A8"/>
    <w:rsid w:val="00B06E10"/>
    <w:rsid w:val="00B0778C"/>
    <w:rsid w:val="00B10447"/>
    <w:rsid w:val="00B109FA"/>
    <w:rsid w:val="00B10E3C"/>
    <w:rsid w:val="00B10EE6"/>
    <w:rsid w:val="00B12421"/>
    <w:rsid w:val="00B1521E"/>
    <w:rsid w:val="00B159E3"/>
    <w:rsid w:val="00B1609A"/>
    <w:rsid w:val="00B16F12"/>
    <w:rsid w:val="00B20A84"/>
    <w:rsid w:val="00B2116C"/>
    <w:rsid w:val="00B2280B"/>
    <w:rsid w:val="00B22894"/>
    <w:rsid w:val="00B229C8"/>
    <w:rsid w:val="00B23585"/>
    <w:rsid w:val="00B23B2D"/>
    <w:rsid w:val="00B24214"/>
    <w:rsid w:val="00B24585"/>
    <w:rsid w:val="00B246E7"/>
    <w:rsid w:val="00B2599C"/>
    <w:rsid w:val="00B259D3"/>
    <w:rsid w:val="00B30F08"/>
    <w:rsid w:val="00B3139C"/>
    <w:rsid w:val="00B32E22"/>
    <w:rsid w:val="00B34365"/>
    <w:rsid w:val="00B34AA3"/>
    <w:rsid w:val="00B358BC"/>
    <w:rsid w:val="00B35B1D"/>
    <w:rsid w:val="00B35F0B"/>
    <w:rsid w:val="00B36008"/>
    <w:rsid w:val="00B3751D"/>
    <w:rsid w:val="00B405FF"/>
    <w:rsid w:val="00B4186D"/>
    <w:rsid w:val="00B41BAD"/>
    <w:rsid w:val="00B4279C"/>
    <w:rsid w:val="00B42A13"/>
    <w:rsid w:val="00B43667"/>
    <w:rsid w:val="00B44257"/>
    <w:rsid w:val="00B444E5"/>
    <w:rsid w:val="00B4611B"/>
    <w:rsid w:val="00B46BED"/>
    <w:rsid w:val="00B46D2D"/>
    <w:rsid w:val="00B4792E"/>
    <w:rsid w:val="00B50D08"/>
    <w:rsid w:val="00B5131C"/>
    <w:rsid w:val="00B51782"/>
    <w:rsid w:val="00B52326"/>
    <w:rsid w:val="00B53378"/>
    <w:rsid w:val="00B536F6"/>
    <w:rsid w:val="00B53BD1"/>
    <w:rsid w:val="00B54833"/>
    <w:rsid w:val="00B54B38"/>
    <w:rsid w:val="00B5708C"/>
    <w:rsid w:val="00B57A86"/>
    <w:rsid w:val="00B604B4"/>
    <w:rsid w:val="00B60965"/>
    <w:rsid w:val="00B615FF"/>
    <w:rsid w:val="00B6294D"/>
    <w:rsid w:val="00B62A69"/>
    <w:rsid w:val="00B648CF"/>
    <w:rsid w:val="00B656A0"/>
    <w:rsid w:val="00B65A25"/>
    <w:rsid w:val="00B65ECF"/>
    <w:rsid w:val="00B662FA"/>
    <w:rsid w:val="00B66DF4"/>
    <w:rsid w:val="00B66F24"/>
    <w:rsid w:val="00B67248"/>
    <w:rsid w:val="00B67CA2"/>
    <w:rsid w:val="00B7131B"/>
    <w:rsid w:val="00B71553"/>
    <w:rsid w:val="00B71819"/>
    <w:rsid w:val="00B7246F"/>
    <w:rsid w:val="00B73A82"/>
    <w:rsid w:val="00B74233"/>
    <w:rsid w:val="00B74AC2"/>
    <w:rsid w:val="00B763EE"/>
    <w:rsid w:val="00B767CC"/>
    <w:rsid w:val="00B76B00"/>
    <w:rsid w:val="00B7759C"/>
    <w:rsid w:val="00B77DF7"/>
    <w:rsid w:val="00B80361"/>
    <w:rsid w:val="00B808BF"/>
    <w:rsid w:val="00B8097D"/>
    <w:rsid w:val="00B80E63"/>
    <w:rsid w:val="00B81AA4"/>
    <w:rsid w:val="00B81D30"/>
    <w:rsid w:val="00B83928"/>
    <w:rsid w:val="00B845DF"/>
    <w:rsid w:val="00B846D7"/>
    <w:rsid w:val="00B85F00"/>
    <w:rsid w:val="00B860F9"/>
    <w:rsid w:val="00B8710C"/>
    <w:rsid w:val="00B878BF"/>
    <w:rsid w:val="00B87A24"/>
    <w:rsid w:val="00B9026A"/>
    <w:rsid w:val="00B92600"/>
    <w:rsid w:val="00B92A63"/>
    <w:rsid w:val="00B93334"/>
    <w:rsid w:val="00B9338F"/>
    <w:rsid w:val="00B93D36"/>
    <w:rsid w:val="00B93F97"/>
    <w:rsid w:val="00B946E0"/>
    <w:rsid w:val="00B9477C"/>
    <w:rsid w:val="00B95853"/>
    <w:rsid w:val="00B95876"/>
    <w:rsid w:val="00B95900"/>
    <w:rsid w:val="00B95A41"/>
    <w:rsid w:val="00B9648A"/>
    <w:rsid w:val="00B96F12"/>
    <w:rsid w:val="00B97969"/>
    <w:rsid w:val="00B97C57"/>
    <w:rsid w:val="00BA105D"/>
    <w:rsid w:val="00BA1C27"/>
    <w:rsid w:val="00BA21CF"/>
    <w:rsid w:val="00BA2969"/>
    <w:rsid w:val="00BA298B"/>
    <w:rsid w:val="00BA3946"/>
    <w:rsid w:val="00BA444B"/>
    <w:rsid w:val="00BA4D15"/>
    <w:rsid w:val="00BA4DCB"/>
    <w:rsid w:val="00BA5312"/>
    <w:rsid w:val="00BA69F3"/>
    <w:rsid w:val="00BA7D1E"/>
    <w:rsid w:val="00BB098A"/>
    <w:rsid w:val="00BB0E98"/>
    <w:rsid w:val="00BB13D4"/>
    <w:rsid w:val="00BB3C03"/>
    <w:rsid w:val="00BB66CD"/>
    <w:rsid w:val="00BB6C62"/>
    <w:rsid w:val="00BC3509"/>
    <w:rsid w:val="00BC36E4"/>
    <w:rsid w:val="00BC4312"/>
    <w:rsid w:val="00BC4C9C"/>
    <w:rsid w:val="00BC5A75"/>
    <w:rsid w:val="00BC64C2"/>
    <w:rsid w:val="00BC6FAD"/>
    <w:rsid w:val="00BD1FF5"/>
    <w:rsid w:val="00BD3BAF"/>
    <w:rsid w:val="00BD3BD5"/>
    <w:rsid w:val="00BD4181"/>
    <w:rsid w:val="00BD4D7F"/>
    <w:rsid w:val="00BD54C1"/>
    <w:rsid w:val="00BD565F"/>
    <w:rsid w:val="00BD56F2"/>
    <w:rsid w:val="00BD5C96"/>
    <w:rsid w:val="00BD6647"/>
    <w:rsid w:val="00BD75F6"/>
    <w:rsid w:val="00BD760B"/>
    <w:rsid w:val="00BD76BC"/>
    <w:rsid w:val="00BE0872"/>
    <w:rsid w:val="00BE0DBA"/>
    <w:rsid w:val="00BE0F6C"/>
    <w:rsid w:val="00BE1610"/>
    <w:rsid w:val="00BE48FE"/>
    <w:rsid w:val="00BE5341"/>
    <w:rsid w:val="00BE53F5"/>
    <w:rsid w:val="00BE59B0"/>
    <w:rsid w:val="00BE5BCC"/>
    <w:rsid w:val="00BE66E7"/>
    <w:rsid w:val="00BE7CD3"/>
    <w:rsid w:val="00BF00A3"/>
    <w:rsid w:val="00BF057C"/>
    <w:rsid w:val="00BF126F"/>
    <w:rsid w:val="00BF1385"/>
    <w:rsid w:val="00BF1EF6"/>
    <w:rsid w:val="00BF2035"/>
    <w:rsid w:val="00BF23FC"/>
    <w:rsid w:val="00BF2482"/>
    <w:rsid w:val="00BF5549"/>
    <w:rsid w:val="00BF5816"/>
    <w:rsid w:val="00BF5D97"/>
    <w:rsid w:val="00BF61BE"/>
    <w:rsid w:val="00BF64B9"/>
    <w:rsid w:val="00BF693D"/>
    <w:rsid w:val="00BF6B20"/>
    <w:rsid w:val="00BF6DC1"/>
    <w:rsid w:val="00C007E7"/>
    <w:rsid w:val="00C017C3"/>
    <w:rsid w:val="00C0213D"/>
    <w:rsid w:val="00C02B59"/>
    <w:rsid w:val="00C045D2"/>
    <w:rsid w:val="00C0470D"/>
    <w:rsid w:val="00C0482C"/>
    <w:rsid w:val="00C04BF1"/>
    <w:rsid w:val="00C0516E"/>
    <w:rsid w:val="00C077C3"/>
    <w:rsid w:val="00C10714"/>
    <w:rsid w:val="00C10B32"/>
    <w:rsid w:val="00C10F8D"/>
    <w:rsid w:val="00C1112D"/>
    <w:rsid w:val="00C126FB"/>
    <w:rsid w:val="00C136D3"/>
    <w:rsid w:val="00C14743"/>
    <w:rsid w:val="00C1475A"/>
    <w:rsid w:val="00C14A2E"/>
    <w:rsid w:val="00C15BCB"/>
    <w:rsid w:val="00C15D57"/>
    <w:rsid w:val="00C1689E"/>
    <w:rsid w:val="00C16FE8"/>
    <w:rsid w:val="00C17585"/>
    <w:rsid w:val="00C2031C"/>
    <w:rsid w:val="00C20407"/>
    <w:rsid w:val="00C2086A"/>
    <w:rsid w:val="00C2244F"/>
    <w:rsid w:val="00C22E97"/>
    <w:rsid w:val="00C2446E"/>
    <w:rsid w:val="00C25346"/>
    <w:rsid w:val="00C259E0"/>
    <w:rsid w:val="00C25C47"/>
    <w:rsid w:val="00C26BF0"/>
    <w:rsid w:val="00C270C0"/>
    <w:rsid w:val="00C31A62"/>
    <w:rsid w:val="00C32220"/>
    <w:rsid w:val="00C33781"/>
    <w:rsid w:val="00C33EEE"/>
    <w:rsid w:val="00C34656"/>
    <w:rsid w:val="00C365F8"/>
    <w:rsid w:val="00C36656"/>
    <w:rsid w:val="00C37AA9"/>
    <w:rsid w:val="00C406FE"/>
    <w:rsid w:val="00C41195"/>
    <w:rsid w:val="00C41984"/>
    <w:rsid w:val="00C419FB"/>
    <w:rsid w:val="00C421F4"/>
    <w:rsid w:val="00C4248C"/>
    <w:rsid w:val="00C42D94"/>
    <w:rsid w:val="00C42DC4"/>
    <w:rsid w:val="00C434A0"/>
    <w:rsid w:val="00C437D6"/>
    <w:rsid w:val="00C451A5"/>
    <w:rsid w:val="00C46463"/>
    <w:rsid w:val="00C46BD4"/>
    <w:rsid w:val="00C46E1B"/>
    <w:rsid w:val="00C471F3"/>
    <w:rsid w:val="00C4773C"/>
    <w:rsid w:val="00C47908"/>
    <w:rsid w:val="00C500A4"/>
    <w:rsid w:val="00C502C9"/>
    <w:rsid w:val="00C50315"/>
    <w:rsid w:val="00C5134D"/>
    <w:rsid w:val="00C513A9"/>
    <w:rsid w:val="00C5224C"/>
    <w:rsid w:val="00C527CA"/>
    <w:rsid w:val="00C52A8D"/>
    <w:rsid w:val="00C52B5A"/>
    <w:rsid w:val="00C53468"/>
    <w:rsid w:val="00C544E1"/>
    <w:rsid w:val="00C55522"/>
    <w:rsid w:val="00C558BC"/>
    <w:rsid w:val="00C55DA8"/>
    <w:rsid w:val="00C56390"/>
    <w:rsid w:val="00C56BB4"/>
    <w:rsid w:val="00C57AD6"/>
    <w:rsid w:val="00C61C61"/>
    <w:rsid w:val="00C62616"/>
    <w:rsid w:val="00C6368D"/>
    <w:rsid w:val="00C63710"/>
    <w:rsid w:val="00C65F25"/>
    <w:rsid w:val="00C666A5"/>
    <w:rsid w:val="00C67506"/>
    <w:rsid w:val="00C67970"/>
    <w:rsid w:val="00C67B7F"/>
    <w:rsid w:val="00C67C57"/>
    <w:rsid w:val="00C67CF9"/>
    <w:rsid w:val="00C67E27"/>
    <w:rsid w:val="00C708B3"/>
    <w:rsid w:val="00C71738"/>
    <w:rsid w:val="00C72248"/>
    <w:rsid w:val="00C735E3"/>
    <w:rsid w:val="00C7552E"/>
    <w:rsid w:val="00C759F0"/>
    <w:rsid w:val="00C761DF"/>
    <w:rsid w:val="00C7630A"/>
    <w:rsid w:val="00C76D80"/>
    <w:rsid w:val="00C80F94"/>
    <w:rsid w:val="00C8373F"/>
    <w:rsid w:val="00C83E7C"/>
    <w:rsid w:val="00C84BD5"/>
    <w:rsid w:val="00C859F7"/>
    <w:rsid w:val="00C85D8B"/>
    <w:rsid w:val="00C866C2"/>
    <w:rsid w:val="00C86D9B"/>
    <w:rsid w:val="00C87456"/>
    <w:rsid w:val="00C87573"/>
    <w:rsid w:val="00C87734"/>
    <w:rsid w:val="00C879B0"/>
    <w:rsid w:val="00C91A2F"/>
    <w:rsid w:val="00C92DEE"/>
    <w:rsid w:val="00C92E40"/>
    <w:rsid w:val="00C937F5"/>
    <w:rsid w:val="00C94498"/>
    <w:rsid w:val="00C947B6"/>
    <w:rsid w:val="00C94872"/>
    <w:rsid w:val="00C9498B"/>
    <w:rsid w:val="00C95072"/>
    <w:rsid w:val="00C95439"/>
    <w:rsid w:val="00C96A4E"/>
    <w:rsid w:val="00C97BF2"/>
    <w:rsid w:val="00CA16CB"/>
    <w:rsid w:val="00CA2025"/>
    <w:rsid w:val="00CA25A0"/>
    <w:rsid w:val="00CA2B99"/>
    <w:rsid w:val="00CA30C9"/>
    <w:rsid w:val="00CA3440"/>
    <w:rsid w:val="00CA3EC5"/>
    <w:rsid w:val="00CA4126"/>
    <w:rsid w:val="00CA494F"/>
    <w:rsid w:val="00CA4E03"/>
    <w:rsid w:val="00CA4E2D"/>
    <w:rsid w:val="00CA5230"/>
    <w:rsid w:val="00CA60C8"/>
    <w:rsid w:val="00CA68F2"/>
    <w:rsid w:val="00CB04A3"/>
    <w:rsid w:val="00CB0F5F"/>
    <w:rsid w:val="00CB474F"/>
    <w:rsid w:val="00CB75A7"/>
    <w:rsid w:val="00CB7B5D"/>
    <w:rsid w:val="00CC0147"/>
    <w:rsid w:val="00CC13DB"/>
    <w:rsid w:val="00CC2CF5"/>
    <w:rsid w:val="00CC3BA5"/>
    <w:rsid w:val="00CC3C4D"/>
    <w:rsid w:val="00CC3E78"/>
    <w:rsid w:val="00CD0C5C"/>
    <w:rsid w:val="00CD2019"/>
    <w:rsid w:val="00CD4278"/>
    <w:rsid w:val="00CD5EA1"/>
    <w:rsid w:val="00CD5FE3"/>
    <w:rsid w:val="00CD604B"/>
    <w:rsid w:val="00CD6AD5"/>
    <w:rsid w:val="00CE0581"/>
    <w:rsid w:val="00CE073C"/>
    <w:rsid w:val="00CE18FC"/>
    <w:rsid w:val="00CE2B2F"/>
    <w:rsid w:val="00CE3A6C"/>
    <w:rsid w:val="00CE3BFE"/>
    <w:rsid w:val="00CE40FB"/>
    <w:rsid w:val="00CE4461"/>
    <w:rsid w:val="00CE44F6"/>
    <w:rsid w:val="00CE462C"/>
    <w:rsid w:val="00CE6552"/>
    <w:rsid w:val="00CE6D6A"/>
    <w:rsid w:val="00CF0BEC"/>
    <w:rsid w:val="00CF16D9"/>
    <w:rsid w:val="00CF2A15"/>
    <w:rsid w:val="00CF43B8"/>
    <w:rsid w:val="00CF5F7D"/>
    <w:rsid w:val="00CF6E67"/>
    <w:rsid w:val="00CF70C3"/>
    <w:rsid w:val="00CF729E"/>
    <w:rsid w:val="00CF75EB"/>
    <w:rsid w:val="00CF78C3"/>
    <w:rsid w:val="00D00A56"/>
    <w:rsid w:val="00D00FF2"/>
    <w:rsid w:val="00D010E1"/>
    <w:rsid w:val="00D02AFC"/>
    <w:rsid w:val="00D0305C"/>
    <w:rsid w:val="00D03468"/>
    <w:rsid w:val="00D0357F"/>
    <w:rsid w:val="00D03ED7"/>
    <w:rsid w:val="00D04649"/>
    <w:rsid w:val="00D0468E"/>
    <w:rsid w:val="00D04DF9"/>
    <w:rsid w:val="00D06185"/>
    <w:rsid w:val="00D07277"/>
    <w:rsid w:val="00D12095"/>
    <w:rsid w:val="00D1303E"/>
    <w:rsid w:val="00D1326D"/>
    <w:rsid w:val="00D13D88"/>
    <w:rsid w:val="00D1664A"/>
    <w:rsid w:val="00D16B68"/>
    <w:rsid w:val="00D17411"/>
    <w:rsid w:val="00D17B24"/>
    <w:rsid w:val="00D17B25"/>
    <w:rsid w:val="00D2179B"/>
    <w:rsid w:val="00D21A7A"/>
    <w:rsid w:val="00D22A1B"/>
    <w:rsid w:val="00D241FC"/>
    <w:rsid w:val="00D243D6"/>
    <w:rsid w:val="00D247C7"/>
    <w:rsid w:val="00D25550"/>
    <w:rsid w:val="00D26AB2"/>
    <w:rsid w:val="00D2710A"/>
    <w:rsid w:val="00D2731D"/>
    <w:rsid w:val="00D306B3"/>
    <w:rsid w:val="00D3106A"/>
    <w:rsid w:val="00D31896"/>
    <w:rsid w:val="00D321B2"/>
    <w:rsid w:val="00D324A2"/>
    <w:rsid w:val="00D3257D"/>
    <w:rsid w:val="00D32976"/>
    <w:rsid w:val="00D34A96"/>
    <w:rsid w:val="00D351B6"/>
    <w:rsid w:val="00D3613E"/>
    <w:rsid w:val="00D36F07"/>
    <w:rsid w:val="00D37BD7"/>
    <w:rsid w:val="00D402B3"/>
    <w:rsid w:val="00D40701"/>
    <w:rsid w:val="00D40712"/>
    <w:rsid w:val="00D409D9"/>
    <w:rsid w:val="00D40FCA"/>
    <w:rsid w:val="00D413CC"/>
    <w:rsid w:val="00D41607"/>
    <w:rsid w:val="00D43E21"/>
    <w:rsid w:val="00D440FB"/>
    <w:rsid w:val="00D44486"/>
    <w:rsid w:val="00D44902"/>
    <w:rsid w:val="00D449E8"/>
    <w:rsid w:val="00D4543F"/>
    <w:rsid w:val="00D45A63"/>
    <w:rsid w:val="00D45C1C"/>
    <w:rsid w:val="00D46876"/>
    <w:rsid w:val="00D47429"/>
    <w:rsid w:val="00D4798E"/>
    <w:rsid w:val="00D50381"/>
    <w:rsid w:val="00D5066B"/>
    <w:rsid w:val="00D51278"/>
    <w:rsid w:val="00D51639"/>
    <w:rsid w:val="00D51BC1"/>
    <w:rsid w:val="00D52AF6"/>
    <w:rsid w:val="00D53934"/>
    <w:rsid w:val="00D54DA3"/>
    <w:rsid w:val="00D55106"/>
    <w:rsid w:val="00D56AFD"/>
    <w:rsid w:val="00D609C2"/>
    <w:rsid w:val="00D60DD4"/>
    <w:rsid w:val="00D61393"/>
    <w:rsid w:val="00D620B7"/>
    <w:rsid w:val="00D6263E"/>
    <w:rsid w:val="00D626AC"/>
    <w:rsid w:val="00D63980"/>
    <w:rsid w:val="00D63E8E"/>
    <w:rsid w:val="00D65500"/>
    <w:rsid w:val="00D65932"/>
    <w:rsid w:val="00D66BEE"/>
    <w:rsid w:val="00D66E62"/>
    <w:rsid w:val="00D67A1C"/>
    <w:rsid w:val="00D7060B"/>
    <w:rsid w:val="00D707FA"/>
    <w:rsid w:val="00D70BF0"/>
    <w:rsid w:val="00D73DCD"/>
    <w:rsid w:val="00D74172"/>
    <w:rsid w:val="00D74DEB"/>
    <w:rsid w:val="00D7753B"/>
    <w:rsid w:val="00D77997"/>
    <w:rsid w:val="00D80635"/>
    <w:rsid w:val="00D809D3"/>
    <w:rsid w:val="00D82074"/>
    <w:rsid w:val="00D82DDF"/>
    <w:rsid w:val="00D83172"/>
    <w:rsid w:val="00D833B6"/>
    <w:rsid w:val="00D8383F"/>
    <w:rsid w:val="00D84C9D"/>
    <w:rsid w:val="00D87976"/>
    <w:rsid w:val="00D90B1B"/>
    <w:rsid w:val="00D90DD7"/>
    <w:rsid w:val="00D912B6"/>
    <w:rsid w:val="00D91650"/>
    <w:rsid w:val="00D933DD"/>
    <w:rsid w:val="00D937B9"/>
    <w:rsid w:val="00D9387A"/>
    <w:rsid w:val="00D94FB2"/>
    <w:rsid w:val="00D9621A"/>
    <w:rsid w:val="00D9692E"/>
    <w:rsid w:val="00D97068"/>
    <w:rsid w:val="00D97AD1"/>
    <w:rsid w:val="00D97B2A"/>
    <w:rsid w:val="00DA29A4"/>
    <w:rsid w:val="00DA337A"/>
    <w:rsid w:val="00DA3D59"/>
    <w:rsid w:val="00DA42B5"/>
    <w:rsid w:val="00DA4E1C"/>
    <w:rsid w:val="00DA5F5B"/>
    <w:rsid w:val="00DA6174"/>
    <w:rsid w:val="00DA6D88"/>
    <w:rsid w:val="00DB1667"/>
    <w:rsid w:val="00DB16F2"/>
    <w:rsid w:val="00DB1A0B"/>
    <w:rsid w:val="00DB1D54"/>
    <w:rsid w:val="00DB2D0D"/>
    <w:rsid w:val="00DB32A1"/>
    <w:rsid w:val="00DB32E1"/>
    <w:rsid w:val="00DB4CC9"/>
    <w:rsid w:val="00DB6CD0"/>
    <w:rsid w:val="00DB7A1E"/>
    <w:rsid w:val="00DC16ED"/>
    <w:rsid w:val="00DC175D"/>
    <w:rsid w:val="00DC1C85"/>
    <w:rsid w:val="00DC253A"/>
    <w:rsid w:val="00DC3350"/>
    <w:rsid w:val="00DC3618"/>
    <w:rsid w:val="00DC388A"/>
    <w:rsid w:val="00DC3A43"/>
    <w:rsid w:val="00DC407A"/>
    <w:rsid w:val="00DC413F"/>
    <w:rsid w:val="00DC450D"/>
    <w:rsid w:val="00DC4A99"/>
    <w:rsid w:val="00DC5BA6"/>
    <w:rsid w:val="00DC5FD3"/>
    <w:rsid w:val="00DC7783"/>
    <w:rsid w:val="00DC781F"/>
    <w:rsid w:val="00DD22F0"/>
    <w:rsid w:val="00DD24CC"/>
    <w:rsid w:val="00DD2916"/>
    <w:rsid w:val="00DD293F"/>
    <w:rsid w:val="00DD36C4"/>
    <w:rsid w:val="00DD38E6"/>
    <w:rsid w:val="00DD3974"/>
    <w:rsid w:val="00DD4230"/>
    <w:rsid w:val="00DD42EB"/>
    <w:rsid w:val="00DD44C7"/>
    <w:rsid w:val="00DD477B"/>
    <w:rsid w:val="00DD5C36"/>
    <w:rsid w:val="00DE0033"/>
    <w:rsid w:val="00DE0CC6"/>
    <w:rsid w:val="00DE1498"/>
    <w:rsid w:val="00DE16F1"/>
    <w:rsid w:val="00DE2CD4"/>
    <w:rsid w:val="00DE52CF"/>
    <w:rsid w:val="00DE555D"/>
    <w:rsid w:val="00DE5A94"/>
    <w:rsid w:val="00DE5BC8"/>
    <w:rsid w:val="00DF1B35"/>
    <w:rsid w:val="00DF26E9"/>
    <w:rsid w:val="00DF2DBB"/>
    <w:rsid w:val="00DF332A"/>
    <w:rsid w:val="00DF43B8"/>
    <w:rsid w:val="00DF454D"/>
    <w:rsid w:val="00DF5BB2"/>
    <w:rsid w:val="00DF5E86"/>
    <w:rsid w:val="00DF607F"/>
    <w:rsid w:val="00DF6FA7"/>
    <w:rsid w:val="00E00EB3"/>
    <w:rsid w:val="00E018DF"/>
    <w:rsid w:val="00E01E5F"/>
    <w:rsid w:val="00E02770"/>
    <w:rsid w:val="00E02FE9"/>
    <w:rsid w:val="00E036FA"/>
    <w:rsid w:val="00E038D3"/>
    <w:rsid w:val="00E03BC9"/>
    <w:rsid w:val="00E06E16"/>
    <w:rsid w:val="00E0709E"/>
    <w:rsid w:val="00E07271"/>
    <w:rsid w:val="00E10F14"/>
    <w:rsid w:val="00E12533"/>
    <w:rsid w:val="00E12585"/>
    <w:rsid w:val="00E131F4"/>
    <w:rsid w:val="00E13C2E"/>
    <w:rsid w:val="00E1417B"/>
    <w:rsid w:val="00E148EA"/>
    <w:rsid w:val="00E15289"/>
    <w:rsid w:val="00E164AA"/>
    <w:rsid w:val="00E16916"/>
    <w:rsid w:val="00E17455"/>
    <w:rsid w:val="00E1789D"/>
    <w:rsid w:val="00E20DE9"/>
    <w:rsid w:val="00E2161B"/>
    <w:rsid w:val="00E21EB6"/>
    <w:rsid w:val="00E22100"/>
    <w:rsid w:val="00E23E03"/>
    <w:rsid w:val="00E23F63"/>
    <w:rsid w:val="00E2498F"/>
    <w:rsid w:val="00E26ACD"/>
    <w:rsid w:val="00E26EA4"/>
    <w:rsid w:val="00E26FB2"/>
    <w:rsid w:val="00E27331"/>
    <w:rsid w:val="00E2760E"/>
    <w:rsid w:val="00E303A2"/>
    <w:rsid w:val="00E32B65"/>
    <w:rsid w:val="00E332EB"/>
    <w:rsid w:val="00E33D56"/>
    <w:rsid w:val="00E35472"/>
    <w:rsid w:val="00E35895"/>
    <w:rsid w:val="00E3651A"/>
    <w:rsid w:val="00E36B41"/>
    <w:rsid w:val="00E36F51"/>
    <w:rsid w:val="00E37BD5"/>
    <w:rsid w:val="00E37D33"/>
    <w:rsid w:val="00E37E67"/>
    <w:rsid w:val="00E418AF"/>
    <w:rsid w:val="00E42BBB"/>
    <w:rsid w:val="00E43827"/>
    <w:rsid w:val="00E43C01"/>
    <w:rsid w:val="00E43F58"/>
    <w:rsid w:val="00E44A93"/>
    <w:rsid w:val="00E455B8"/>
    <w:rsid w:val="00E46D72"/>
    <w:rsid w:val="00E46EA8"/>
    <w:rsid w:val="00E47D3F"/>
    <w:rsid w:val="00E47D98"/>
    <w:rsid w:val="00E50C2E"/>
    <w:rsid w:val="00E5210E"/>
    <w:rsid w:val="00E52284"/>
    <w:rsid w:val="00E52BA8"/>
    <w:rsid w:val="00E535CB"/>
    <w:rsid w:val="00E55B7A"/>
    <w:rsid w:val="00E560CE"/>
    <w:rsid w:val="00E563DC"/>
    <w:rsid w:val="00E56798"/>
    <w:rsid w:val="00E57C78"/>
    <w:rsid w:val="00E60113"/>
    <w:rsid w:val="00E6097B"/>
    <w:rsid w:val="00E62230"/>
    <w:rsid w:val="00E62B8A"/>
    <w:rsid w:val="00E62B98"/>
    <w:rsid w:val="00E630BE"/>
    <w:rsid w:val="00E65DAE"/>
    <w:rsid w:val="00E6679D"/>
    <w:rsid w:val="00E66EA0"/>
    <w:rsid w:val="00E676B5"/>
    <w:rsid w:val="00E67A41"/>
    <w:rsid w:val="00E67C91"/>
    <w:rsid w:val="00E705F0"/>
    <w:rsid w:val="00E70CB9"/>
    <w:rsid w:val="00E71526"/>
    <w:rsid w:val="00E73999"/>
    <w:rsid w:val="00E73A6B"/>
    <w:rsid w:val="00E74611"/>
    <w:rsid w:val="00E74681"/>
    <w:rsid w:val="00E746C8"/>
    <w:rsid w:val="00E74796"/>
    <w:rsid w:val="00E74ABF"/>
    <w:rsid w:val="00E75233"/>
    <w:rsid w:val="00E76272"/>
    <w:rsid w:val="00E764CA"/>
    <w:rsid w:val="00E7659E"/>
    <w:rsid w:val="00E76CDF"/>
    <w:rsid w:val="00E76D8E"/>
    <w:rsid w:val="00E76F7E"/>
    <w:rsid w:val="00E77587"/>
    <w:rsid w:val="00E82C46"/>
    <w:rsid w:val="00E83FFC"/>
    <w:rsid w:val="00E848D8"/>
    <w:rsid w:val="00E86053"/>
    <w:rsid w:val="00E86BDD"/>
    <w:rsid w:val="00E86CAA"/>
    <w:rsid w:val="00E86EB2"/>
    <w:rsid w:val="00E87928"/>
    <w:rsid w:val="00E90E22"/>
    <w:rsid w:val="00E9124B"/>
    <w:rsid w:val="00E91A8E"/>
    <w:rsid w:val="00E93856"/>
    <w:rsid w:val="00E9538C"/>
    <w:rsid w:val="00E97099"/>
    <w:rsid w:val="00E97220"/>
    <w:rsid w:val="00E97F02"/>
    <w:rsid w:val="00EA00A1"/>
    <w:rsid w:val="00EA0CCC"/>
    <w:rsid w:val="00EA1E2E"/>
    <w:rsid w:val="00EA262C"/>
    <w:rsid w:val="00EA2BFE"/>
    <w:rsid w:val="00EA463E"/>
    <w:rsid w:val="00EA4819"/>
    <w:rsid w:val="00EA4CDF"/>
    <w:rsid w:val="00EA530A"/>
    <w:rsid w:val="00EA595E"/>
    <w:rsid w:val="00EA608E"/>
    <w:rsid w:val="00EA6141"/>
    <w:rsid w:val="00EA68ED"/>
    <w:rsid w:val="00EA7056"/>
    <w:rsid w:val="00EA780D"/>
    <w:rsid w:val="00EA7831"/>
    <w:rsid w:val="00EB0542"/>
    <w:rsid w:val="00EB0EFD"/>
    <w:rsid w:val="00EB1463"/>
    <w:rsid w:val="00EB21F4"/>
    <w:rsid w:val="00EB365D"/>
    <w:rsid w:val="00EB3920"/>
    <w:rsid w:val="00EB44D7"/>
    <w:rsid w:val="00EB47F2"/>
    <w:rsid w:val="00EB4888"/>
    <w:rsid w:val="00EB48E1"/>
    <w:rsid w:val="00EB6002"/>
    <w:rsid w:val="00EB6F8E"/>
    <w:rsid w:val="00EB7739"/>
    <w:rsid w:val="00EB7B51"/>
    <w:rsid w:val="00EC00CC"/>
    <w:rsid w:val="00EC17FD"/>
    <w:rsid w:val="00EC23E2"/>
    <w:rsid w:val="00EC2494"/>
    <w:rsid w:val="00EC4538"/>
    <w:rsid w:val="00EC530F"/>
    <w:rsid w:val="00EC68A1"/>
    <w:rsid w:val="00EC6A64"/>
    <w:rsid w:val="00EC780B"/>
    <w:rsid w:val="00ED06D1"/>
    <w:rsid w:val="00ED090D"/>
    <w:rsid w:val="00ED1839"/>
    <w:rsid w:val="00ED29EC"/>
    <w:rsid w:val="00ED3134"/>
    <w:rsid w:val="00ED3894"/>
    <w:rsid w:val="00ED3AB8"/>
    <w:rsid w:val="00ED490B"/>
    <w:rsid w:val="00ED50D9"/>
    <w:rsid w:val="00ED5814"/>
    <w:rsid w:val="00ED63BB"/>
    <w:rsid w:val="00ED63DB"/>
    <w:rsid w:val="00EE0359"/>
    <w:rsid w:val="00EE19FF"/>
    <w:rsid w:val="00EE2B46"/>
    <w:rsid w:val="00EE54A4"/>
    <w:rsid w:val="00EE641B"/>
    <w:rsid w:val="00EF06DE"/>
    <w:rsid w:val="00EF090A"/>
    <w:rsid w:val="00EF0E4A"/>
    <w:rsid w:val="00EF1219"/>
    <w:rsid w:val="00EF183C"/>
    <w:rsid w:val="00EF2556"/>
    <w:rsid w:val="00EF4CFB"/>
    <w:rsid w:val="00EF5E9E"/>
    <w:rsid w:val="00EF7296"/>
    <w:rsid w:val="00F01887"/>
    <w:rsid w:val="00F03555"/>
    <w:rsid w:val="00F049FD"/>
    <w:rsid w:val="00F04A8B"/>
    <w:rsid w:val="00F058FE"/>
    <w:rsid w:val="00F062F1"/>
    <w:rsid w:val="00F06DDA"/>
    <w:rsid w:val="00F10A83"/>
    <w:rsid w:val="00F10CE0"/>
    <w:rsid w:val="00F1286F"/>
    <w:rsid w:val="00F12FCF"/>
    <w:rsid w:val="00F135BA"/>
    <w:rsid w:val="00F15AE8"/>
    <w:rsid w:val="00F1715F"/>
    <w:rsid w:val="00F20C96"/>
    <w:rsid w:val="00F2290F"/>
    <w:rsid w:val="00F22D80"/>
    <w:rsid w:val="00F22FA2"/>
    <w:rsid w:val="00F23296"/>
    <w:rsid w:val="00F234AE"/>
    <w:rsid w:val="00F237C5"/>
    <w:rsid w:val="00F2495F"/>
    <w:rsid w:val="00F2584A"/>
    <w:rsid w:val="00F26A32"/>
    <w:rsid w:val="00F26CDC"/>
    <w:rsid w:val="00F27390"/>
    <w:rsid w:val="00F2795C"/>
    <w:rsid w:val="00F31135"/>
    <w:rsid w:val="00F31520"/>
    <w:rsid w:val="00F320A4"/>
    <w:rsid w:val="00F324BC"/>
    <w:rsid w:val="00F326E5"/>
    <w:rsid w:val="00F32C85"/>
    <w:rsid w:val="00F33167"/>
    <w:rsid w:val="00F334C0"/>
    <w:rsid w:val="00F33C0C"/>
    <w:rsid w:val="00F35054"/>
    <w:rsid w:val="00F351EB"/>
    <w:rsid w:val="00F35D22"/>
    <w:rsid w:val="00F35D5E"/>
    <w:rsid w:val="00F36EDA"/>
    <w:rsid w:val="00F370B4"/>
    <w:rsid w:val="00F40261"/>
    <w:rsid w:val="00F405EC"/>
    <w:rsid w:val="00F406AA"/>
    <w:rsid w:val="00F42C20"/>
    <w:rsid w:val="00F43516"/>
    <w:rsid w:val="00F442AF"/>
    <w:rsid w:val="00F44B13"/>
    <w:rsid w:val="00F45F37"/>
    <w:rsid w:val="00F4668A"/>
    <w:rsid w:val="00F5029D"/>
    <w:rsid w:val="00F51540"/>
    <w:rsid w:val="00F51C25"/>
    <w:rsid w:val="00F52B43"/>
    <w:rsid w:val="00F555E8"/>
    <w:rsid w:val="00F558A1"/>
    <w:rsid w:val="00F55C06"/>
    <w:rsid w:val="00F56673"/>
    <w:rsid w:val="00F5674C"/>
    <w:rsid w:val="00F576DE"/>
    <w:rsid w:val="00F5798E"/>
    <w:rsid w:val="00F57D58"/>
    <w:rsid w:val="00F60F81"/>
    <w:rsid w:val="00F616AF"/>
    <w:rsid w:val="00F61954"/>
    <w:rsid w:val="00F6263D"/>
    <w:rsid w:val="00F6287A"/>
    <w:rsid w:val="00F6304F"/>
    <w:rsid w:val="00F63F93"/>
    <w:rsid w:val="00F64297"/>
    <w:rsid w:val="00F65C05"/>
    <w:rsid w:val="00F6619B"/>
    <w:rsid w:val="00F6754D"/>
    <w:rsid w:val="00F70881"/>
    <w:rsid w:val="00F71B99"/>
    <w:rsid w:val="00F72ABD"/>
    <w:rsid w:val="00F73DAD"/>
    <w:rsid w:val="00F74178"/>
    <w:rsid w:val="00F74302"/>
    <w:rsid w:val="00F747D3"/>
    <w:rsid w:val="00F74DD1"/>
    <w:rsid w:val="00F752A8"/>
    <w:rsid w:val="00F757B6"/>
    <w:rsid w:val="00F75E28"/>
    <w:rsid w:val="00F770A4"/>
    <w:rsid w:val="00F802C0"/>
    <w:rsid w:val="00F80956"/>
    <w:rsid w:val="00F81223"/>
    <w:rsid w:val="00F8152F"/>
    <w:rsid w:val="00F81C58"/>
    <w:rsid w:val="00F83D21"/>
    <w:rsid w:val="00F8452B"/>
    <w:rsid w:val="00F86A08"/>
    <w:rsid w:val="00F86A42"/>
    <w:rsid w:val="00F86B33"/>
    <w:rsid w:val="00F86DBE"/>
    <w:rsid w:val="00F90438"/>
    <w:rsid w:val="00F905CC"/>
    <w:rsid w:val="00F91661"/>
    <w:rsid w:val="00F92998"/>
    <w:rsid w:val="00F9368A"/>
    <w:rsid w:val="00F947AE"/>
    <w:rsid w:val="00F94A5B"/>
    <w:rsid w:val="00F9501F"/>
    <w:rsid w:val="00F960ED"/>
    <w:rsid w:val="00F97B19"/>
    <w:rsid w:val="00FA029A"/>
    <w:rsid w:val="00FA068B"/>
    <w:rsid w:val="00FA0949"/>
    <w:rsid w:val="00FA292E"/>
    <w:rsid w:val="00FA31C3"/>
    <w:rsid w:val="00FA3D5A"/>
    <w:rsid w:val="00FA6653"/>
    <w:rsid w:val="00FA7A50"/>
    <w:rsid w:val="00FA7B37"/>
    <w:rsid w:val="00FB0278"/>
    <w:rsid w:val="00FB0F0A"/>
    <w:rsid w:val="00FB27F3"/>
    <w:rsid w:val="00FB3FBC"/>
    <w:rsid w:val="00FB4A7C"/>
    <w:rsid w:val="00FB5AB4"/>
    <w:rsid w:val="00FB7855"/>
    <w:rsid w:val="00FB7CF1"/>
    <w:rsid w:val="00FC0571"/>
    <w:rsid w:val="00FC08E2"/>
    <w:rsid w:val="00FC12D5"/>
    <w:rsid w:val="00FC3823"/>
    <w:rsid w:val="00FC7178"/>
    <w:rsid w:val="00FC752B"/>
    <w:rsid w:val="00FD0232"/>
    <w:rsid w:val="00FD05D6"/>
    <w:rsid w:val="00FD100A"/>
    <w:rsid w:val="00FD17EF"/>
    <w:rsid w:val="00FD2535"/>
    <w:rsid w:val="00FD3184"/>
    <w:rsid w:val="00FD3770"/>
    <w:rsid w:val="00FD42D6"/>
    <w:rsid w:val="00FD6DDB"/>
    <w:rsid w:val="00FD7467"/>
    <w:rsid w:val="00FE04AA"/>
    <w:rsid w:val="00FE0EBB"/>
    <w:rsid w:val="00FE1675"/>
    <w:rsid w:val="00FE18AF"/>
    <w:rsid w:val="00FE1E00"/>
    <w:rsid w:val="00FE4B04"/>
    <w:rsid w:val="00FE6368"/>
    <w:rsid w:val="00FE6F50"/>
    <w:rsid w:val="00FE7F25"/>
    <w:rsid w:val="00FF06F0"/>
    <w:rsid w:val="00FF1464"/>
    <w:rsid w:val="00FF1C2A"/>
    <w:rsid w:val="00FF22DC"/>
    <w:rsid w:val="00FF4151"/>
    <w:rsid w:val="00FF6E82"/>
    <w:rsid w:val="00FF7D40"/>
    <w:rsid w:val="049FC5B4"/>
    <w:rsid w:val="06236621"/>
    <w:rsid w:val="1FF750F2"/>
    <w:rsid w:val="2057DC09"/>
    <w:rsid w:val="20C58CAE"/>
    <w:rsid w:val="25D1357A"/>
    <w:rsid w:val="26742EAC"/>
    <w:rsid w:val="2C34CCBC"/>
    <w:rsid w:val="2CF4216A"/>
    <w:rsid w:val="44105A48"/>
    <w:rsid w:val="47C519D7"/>
    <w:rsid w:val="4803FD3F"/>
    <w:rsid w:val="4E21B52C"/>
    <w:rsid w:val="4E7DD332"/>
    <w:rsid w:val="54ED2ED9"/>
    <w:rsid w:val="58E641D0"/>
    <w:rsid w:val="5D3F48D2"/>
    <w:rsid w:val="5D86084D"/>
    <w:rsid w:val="66C0A495"/>
    <w:rsid w:val="6C1E56A6"/>
    <w:rsid w:val="6C700BB7"/>
    <w:rsid w:val="6D624DEB"/>
    <w:rsid w:val="70F68CEA"/>
    <w:rsid w:val="73AEDB7D"/>
    <w:rsid w:val="76BEBDD3"/>
    <w:rsid w:val="785D28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3D13B0"/>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3D13B0"/>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3D13B0"/>
    <w:rPr>
      <w:sz w:val="20"/>
    </w:rPr>
  </w:style>
  <w:style w:type="character" w:styleId="CommentReference">
    <w:name w:val="annotation reference"/>
    <w:basedOn w:val="DefaultParagraphFont"/>
    <w:uiPriority w:val="99"/>
    <w:semiHidden/>
    <w:unhideWhenUsed/>
    <w:locked/>
    <w:rsid w:val="003D13B0"/>
    <w:rPr>
      <w:sz w:val="16"/>
      <w:szCs w:val="16"/>
    </w:rPr>
  </w:style>
  <w:style w:type="paragraph" w:styleId="CommentText">
    <w:name w:val="annotation text"/>
    <w:basedOn w:val="Normal"/>
    <w:link w:val="CommentTextChar"/>
    <w:uiPriority w:val="99"/>
    <w:unhideWhenUsed/>
    <w:locked/>
    <w:rsid w:val="003D13B0"/>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3D13B0"/>
    <w:rPr>
      <w:rFonts w:eastAsiaTheme="minorHAnsi" w:cstheme="minorBidi"/>
      <w:sz w:val="20"/>
      <w:lang w:val="en-US" w:eastAsia="en-US"/>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locked/>
    <w:rsid w:val="003D13B0"/>
    <w:rPr>
      <w:vertAlign w:val="superscript"/>
    </w:rPr>
  </w:style>
  <w:style w:type="character" w:customStyle="1" w:styleId="TitleChar">
    <w:name w:val="Title Char"/>
    <w:basedOn w:val="DefaultParagraphFont"/>
    <w:link w:val="Title"/>
    <w:uiPriority w:val="10"/>
    <w:rsid w:val="003D13B0"/>
    <w:rPr>
      <w:b/>
      <w:kern w:val="28"/>
      <w:sz w:val="48"/>
    </w:rPr>
  </w:style>
  <w:style w:type="table" w:styleId="GridTable7Colorful-Accent6">
    <w:name w:val="Grid Table 7 Colorful Accent 6"/>
    <w:basedOn w:val="TableNormal"/>
    <w:uiPriority w:val="52"/>
    <w:locked/>
    <w:rsid w:val="003D13B0"/>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3D13B0"/>
    <w:rPr>
      <w:b/>
      <w:smallCaps/>
    </w:rPr>
  </w:style>
  <w:style w:type="character" w:customStyle="1" w:styleId="Heading2Char">
    <w:name w:val="Heading 2 Char"/>
    <w:basedOn w:val="DefaultParagraphFont"/>
    <w:link w:val="Heading2"/>
    <w:uiPriority w:val="9"/>
    <w:rsid w:val="003D13B0"/>
    <w:rPr>
      <w:b/>
    </w:rPr>
  </w:style>
  <w:style w:type="character" w:customStyle="1" w:styleId="Heading3Char">
    <w:name w:val="Heading 3 Char"/>
    <w:basedOn w:val="DefaultParagraphFont"/>
    <w:link w:val="Heading3"/>
    <w:uiPriority w:val="9"/>
    <w:rsid w:val="003D13B0"/>
    <w:rPr>
      <w:i/>
    </w:rPr>
  </w:style>
  <w:style w:type="character" w:customStyle="1" w:styleId="Heading4Char">
    <w:name w:val="Heading 4 Char"/>
    <w:basedOn w:val="DefaultParagraphFont"/>
    <w:link w:val="Heading4"/>
    <w:uiPriority w:val="9"/>
    <w:rsid w:val="003D13B0"/>
  </w:style>
  <w:style w:type="character" w:customStyle="1" w:styleId="Heading5Char">
    <w:name w:val="Heading 5 Char"/>
    <w:basedOn w:val="DefaultParagraphFont"/>
    <w:link w:val="Heading5"/>
    <w:uiPriority w:val="9"/>
    <w:semiHidden/>
    <w:rsid w:val="003D13B0"/>
  </w:style>
  <w:style w:type="character" w:customStyle="1" w:styleId="Heading6Char">
    <w:name w:val="Heading 6 Char"/>
    <w:basedOn w:val="DefaultParagraphFont"/>
    <w:link w:val="Heading6"/>
    <w:uiPriority w:val="9"/>
    <w:semiHidden/>
    <w:rsid w:val="003D13B0"/>
  </w:style>
  <w:style w:type="character" w:customStyle="1" w:styleId="Heading7Char">
    <w:name w:val="Heading 7 Char"/>
    <w:basedOn w:val="DefaultParagraphFont"/>
    <w:link w:val="Heading7"/>
    <w:uiPriority w:val="9"/>
    <w:semiHidden/>
    <w:rsid w:val="003D13B0"/>
  </w:style>
  <w:style w:type="character" w:customStyle="1" w:styleId="Heading8Char">
    <w:name w:val="Heading 8 Char"/>
    <w:basedOn w:val="DefaultParagraphFont"/>
    <w:link w:val="Heading8"/>
    <w:uiPriority w:val="9"/>
    <w:semiHidden/>
    <w:rsid w:val="003D13B0"/>
  </w:style>
  <w:style w:type="character" w:customStyle="1" w:styleId="Heading9Char">
    <w:name w:val="Heading 9 Char"/>
    <w:basedOn w:val="DefaultParagraphFont"/>
    <w:link w:val="Heading9"/>
    <w:uiPriority w:val="9"/>
    <w:semiHidden/>
    <w:rsid w:val="003D13B0"/>
  </w:style>
  <w:style w:type="paragraph" w:customStyle="1" w:styleId="FootnoteRoLReport">
    <w:name w:val="Footnote RoL Report"/>
    <w:basedOn w:val="FootnoteText"/>
    <w:link w:val="FootnoteRoLReportChar"/>
    <w:autoRedefine/>
    <w:qFormat/>
    <w:rsid w:val="003D13B0"/>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3D13B0"/>
    <w:rPr>
      <w:rFonts w:eastAsiaTheme="minorHAnsi" w:cstheme="minorBidi"/>
      <w:sz w:val="20"/>
      <w:lang w:val="en-US" w:eastAsia="en-US"/>
    </w:rPr>
  </w:style>
  <w:style w:type="paragraph" w:styleId="ListParagraph">
    <w:name w:val="List Paragraph"/>
    <w:basedOn w:val="Normal"/>
    <w:uiPriority w:val="34"/>
    <w:qFormat/>
    <w:locked/>
    <w:rsid w:val="003D13B0"/>
    <w:pPr>
      <w:ind w:left="720"/>
      <w:contextualSpacing/>
    </w:pPr>
    <w:rPr>
      <w:rFonts w:eastAsiaTheme="minorHAnsi" w:cstheme="minorBidi"/>
      <w:szCs w:val="22"/>
      <w:lang w:val="en-US"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3D13B0"/>
    <w:pPr>
      <w:spacing w:after="160" w:line="240" w:lineRule="exact"/>
    </w:pPr>
    <w:rPr>
      <w:vertAlign w:val="superscript"/>
    </w:rPr>
  </w:style>
  <w:style w:type="character" w:styleId="Hyperlink">
    <w:name w:val="Hyperlink"/>
    <w:basedOn w:val="DefaultParagraphFont"/>
    <w:uiPriority w:val="99"/>
    <w:unhideWhenUsed/>
    <w:locked/>
    <w:rsid w:val="003D13B0"/>
    <w:rPr>
      <w:color w:val="0563C1" w:themeColor="hyperlink"/>
      <w:u w:val="single"/>
    </w:rPr>
  </w:style>
  <w:style w:type="character" w:customStyle="1" w:styleId="UnresolvedMention">
    <w:name w:val="Unresolved Mention"/>
    <w:basedOn w:val="DefaultParagraphFont"/>
    <w:uiPriority w:val="99"/>
    <w:semiHidden/>
    <w:unhideWhenUsed/>
    <w:rsid w:val="003D13B0"/>
    <w:rPr>
      <w:color w:val="605E5C"/>
      <w:shd w:val="clear" w:color="auto" w:fill="E1DFDD"/>
    </w:rPr>
  </w:style>
  <w:style w:type="character" w:customStyle="1" w:styleId="normaltextrun">
    <w:name w:val="normaltextrun"/>
    <w:basedOn w:val="DefaultParagraphFont"/>
    <w:rsid w:val="003D13B0"/>
  </w:style>
  <w:style w:type="character" w:styleId="FollowedHyperlink">
    <w:name w:val="FollowedHyperlink"/>
    <w:basedOn w:val="DefaultParagraphFont"/>
    <w:uiPriority w:val="99"/>
    <w:semiHidden/>
    <w:unhideWhenUsed/>
    <w:locked/>
    <w:rsid w:val="003D13B0"/>
    <w:rPr>
      <w:color w:val="954F72" w:themeColor="followedHyperlink"/>
      <w:u w:val="single"/>
    </w:rPr>
  </w:style>
  <w:style w:type="paragraph" w:styleId="CommentSubject">
    <w:name w:val="annotation subject"/>
    <w:basedOn w:val="CommentText"/>
    <w:next w:val="CommentText"/>
    <w:link w:val="CommentSubjectChar"/>
    <w:uiPriority w:val="99"/>
    <w:semiHidden/>
    <w:unhideWhenUsed/>
    <w:locked/>
    <w:rsid w:val="003D13B0"/>
    <w:rPr>
      <w:b/>
      <w:bCs/>
    </w:rPr>
  </w:style>
  <w:style w:type="character" w:customStyle="1" w:styleId="CommentSubjectChar">
    <w:name w:val="Comment Subject Char"/>
    <w:basedOn w:val="CommentTextChar"/>
    <w:link w:val="CommentSubject"/>
    <w:uiPriority w:val="99"/>
    <w:semiHidden/>
    <w:rsid w:val="003D13B0"/>
    <w:rPr>
      <w:rFonts w:eastAsiaTheme="minorHAnsi" w:cstheme="minorBidi"/>
      <w:b/>
      <w:bCs/>
      <w:sz w:val="20"/>
      <w:lang w:val="en-US" w:eastAsia="en-US"/>
    </w:rPr>
  </w:style>
  <w:style w:type="paragraph" w:styleId="Revision">
    <w:name w:val="Revision"/>
    <w:hidden/>
    <w:uiPriority w:val="99"/>
    <w:semiHidden/>
    <w:locked/>
    <w:rsid w:val="003D13B0"/>
    <w:rPr>
      <w:rFonts w:eastAsiaTheme="minorHAnsi" w:cstheme="minorBidi"/>
      <w:szCs w:val="22"/>
      <w:lang w:val="en-US"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3D13B0"/>
    <w:pPr>
      <w:spacing w:after="160" w:line="240" w:lineRule="exact"/>
    </w:pPr>
    <w:rPr>
      <w:vertAlign w:val="superscript"/>
    </w:rPr>
  </w:style>
  <w:style w:type="character" w:customStyle="1" w:styleId="Mention">
    <w:name w:val="Mention"/>
    <w:basedOn w:val="DefaultParagraphFont"/>
    <w:uiPriority w:val="99"/>
    <w:unhideWhenUsed/>
    <w:rsid w:val="003D13B0"/>
    <w:rPr>
      <w:color w:val="2B579A"/>
      <w:shd w:val="clear" w:color="auto" w:fill="E1DFDD"/>
    </w:rPr>
  </w:style>
  <w:style w:type="character" w:customStyle="1" w:styleId="FootnoteTextChar1">
    <w:name w:val="Footnote Text Char1"/>
    <w:basedOn w:val="DefaultParagraphFont"/>
    <w:uiPriority w:val="99"/>
    <w:semiHidden/>
    <w:rsid w:val="003D13B0"/>
    <w:rPr>
      <w:sz w:val="20"/>
      <w:szCs w:val="20"/>
    </w:rPr>
  </w:style>
  <w:style w:type="paragraph" w:customStyle="1" w:styleId="TypeacteprincipalPagedecouverture">
    <w:name w:val="Type acte principal (Page de couverture)"/>
    <w:basedOn w:val="Normal"/>
    <w:next w:val="Normal"/>
    <w:rsid w:val="00A11582"/>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76568">
      <w:bodyDiv w:val="1"/>
      <w:marLeft w:val="0"/>
      <w:marRight w:val="0"/>
      <w:marTop w:val="0"/>
      <w:marBottom w:val="0"/>
      <w:divBdr>
        <w:top w:val="none" w:sz="0" w:space="0" w:color="auto"/>
        <w:left w:val="none" w:sz="0" w:space="0" w:color="auto"/>
        <w:bottom w:val="none" w:sz="0" w:space="0" w:color="auto"/>
        <w:right w:val="none" w:sz="0" w:space="0" w:color="auto"/>
      </w:divBdr>
    </w:div>
    <w:div w:id="236549793">
      <w:bodyDiv w:val="1"/>
      <w:marLeft w:val="0"/>
      <w:marRight w:val="0"/>
      <w:marTop w:val="0"/>
      <w:marBottom w:val="0"/>
      <w:divBdr>
        <w:top w:val="none" w:sz="0" w:space="0" w:color="auto"/>
        <w:left w:val="none" w:sz="0" w:space="0" w:color="auto"/>
        <w:bottom w:val="none" w:sz="0" w:space="0" w:color="auto"/>
        <w:right w:val="none" w:sz="0" w:space="0" w:color="auto"/>
      </w:divBdr>
    </w:div>
    <w:div w:id="404569084">
      <w:bodyDiv w:val="1"/>
      <w:marLeft w:val="0"/>
      <w:marRight w:val="0"/>
      <w:marTop w:val="0"/>
      <w:marBottom w:val="0"/>
      <w:divBdr>
        <w:top w:val="none" w:sz="0" w:space="0" w:color="auto"/>
        <w:left w:val="none" w:sz="0" w:space="0" w:color="auto"/>
        <w:bottom w:val="none" w:sz="0" w:space="0" w:color="auto"/>
        <w:right w:val="none" w:sz="0" w:space="0" w:color="auto"/>
      </w:divBdr>
    </w:div>
    <w:div w:id="1018968239">
      <w:bodyDiv w:val="1"/>
      <w:marLeft w:val="0"/>
      <w:marRight w:val="0"/>
      <w:marTop w:val="0"/>
      <w:marBottom w:val="0"/>
      <w:divBdr>
        <w:top w:val="none" w:sz="0" w:space="0" w:color="auto"/>
        <w:left w:val="none" w:sz="0" w:space="0" w:color="auto"/>
        <w:bottom w:val="none" w:sz="0" w:space="0" w:color="auto"/>
        <w:right w:val="none" w:sz="0" w:space="0" w:color="auto"/>
      </w:divBdr>
    </w:div>
    <w:div w:id="1033307584">
      <w:bodyDiv w:val="1"/>
      <w:marLeft w:val="0"/>
      <w:marRight w:val="0"/>
      <w:marTop w:val="0"/>
      <w:marBottom w:val="0"/>
      <w:divBdr>
        <w:top w:val="none" w:sz="0" w:space="0" w:color="auto"/>
        <w:left w:val="none" w:sz="0" w:space="0" w:color="auto"/>
        <w:bottom w:val="none" w:sz="0" w:space="0" w:color="auto"/>
        <w:right w:val="none" w:sz="0" w:space="0" w:color="auto"/>
      </w:divBdr>
    </w:div>
    <w:div w:id="1107508329">
      <w:bodyDiv w:val="1"/>
      <w:marLeft w:val="0"/>
      <w:marRight w:val="0"/>
      <w:marTop w:val="0"/>
      <w:marBottom w:val="0"/>
      <w:divBdr>
        <w:top w:val="none" w:sz="0" w:space="0" w:color="auto"/>
        <w:left w:val="none" w:sz="0" w:space="0" w:color="auto"/>
        <w:bottom w:val="none" w:sz="0" w:space="0" w:color="auto"/>
        <w:right w:val="none" w:sz="0" w:space="0" w:color="auto"/>
      </w:divBdr>
    </w:div>
    <w:div w:id="1335649492">
      <w:bodyDiv w:val="1"/>
      <w:marLeft w:val="0"/>
      <w:marRight w:val="0"/>
      <w:marTop w:val="0"/>
      <w:marBottom w:val="0"/>
      <w:divBdr>
        <w:top w:val="none" w:sz="0" w:space="0" w:color="auto"/>
        <w:left w:val="none" w:sz="0" w:space="0" w:color="auto"/>
        <w:bottom w:val="none" w:sz="0" w:space="0" w:color="auto"/>
        <w:right w:val="none" w:sz="0" w:space="0" w:color="auto"/>
      </w:divBdr>
    </w:div>
    <w:div w:id="1472136901">
      <w:bodyDiv w:val="1"/>
      <w:marLeft w:val="0"/>
      <w:marRight w:val="0"/>
      <w:marTop w:val="0"/>
      <w:marBottom w:val="0"/>
      <w:divBdr>
        <w:top w:val="none" w:sz="0" w:space="0" w:color="auto"/>
        <w:left w:val="none" w:sz="0" w:space="0" w:color="auto"/>
        <w:bottom w:val="none" w:sz="0" w:space="0" w:color="auto"/>
        <w:right w:val="none" w:sz="0" w:space="0" w:color="auto"/>
      </w:divBdr>
    </w:div>
    <w:div w:id="1749229102">
      <w:bodyDiv w:val="1"/>
      <w:marLeft w:val="0"/>
      <w:marRight w:val="0"/>
      <w:marTop w:val="0"/>
      <w:marBottom w:val="0"/>
      <w:divBdr>
        <w:top w:val="none" w:sz="0" w:space="0" w:color="auto"/>
        <w:left w:val="none" w:sz="0" w:space="0" w:color="auto"/>
        <w:bottom w:val="none" w:sz="0" w:space="0" w:color="auto"/>
        <w:right w:val="none" w:sz="0" w:space="0" w:color="auto"/>
      </w:divBdr>
    </w:div>
    <w:div w:id="1848010314">
      <w:bodyDiv w:val="1"/>
      <w:marLeft w:val="0"/>
      <w:marRight w:val="0"/>
      <w:marTop w:val="0"/>
      <w:marBottom w:val="0"/>
      <w:divBdr>
        <w:top w:val="none" w:sz="0" w:space="0" w:color="auto"/>
        <w:left w:val="none" w:sz="0" w:space="0" w:color="auto"/>
        <w:bottom w:val="none" w:sz="0" w:space="0" w:color="auto"/>
        <w:right w:val="none" w:sz="0" w:space="0" w:color="auto"/>
      </w:divBdr>
    </w:div>
    <w:div w:id="1881236013">
      <w:bodyDiv w:val="1"/>
      <w:marLeft w:val="0"/>
      <w:marRight w:val="0"/>
      <w:marTop w:val="0"/>
      <w:marBottom w:val="0"/>
      <w:divBdr>
        <w:top w:val="none" w:sz="0" w:space="0" w:color="auto"/>
        <w:left w:val="none" w:sz="0" w:space="0" w:color="auto"/>
        <w:bottom w:val="none" w:sz="0" w:space="0" w:color="auto"/>
        <w:right w:val="none" w:sz="0" w:space="0" w:color="auto"/>
      </w:divBdr>
    </w:div>
    <w:div w:id="1908608945">
      <w:bodyDiv w:val="1"/>
      <w:marLeft w:val="0"/>
      <w:marRight w:val="0"/>
      <w:marTop w:val="0"/>
      <w:marBottom w:val="0"/>
      <w:divBdr>
        <w:top w:val="none" w:sz="0" w:space="0" w:color="auto"/>
        <w:left w:val="none" w:sz="0" w:space="0" w:color="auto"/>
        <w:bottom w:val="none" w:sz="0" w:space="0" w:color="auto"/>
        <w:right w:val="none" w:sz="0" w:space="0" w:color="auto"/>
      </w:divBdr>
    </w:div>
    <w:div w:id="2055300945">
      <w:bodyDiv w:val="1"/>
      <w:marLeft w:val="0"/>
      <w:marRight w:val="0"/>
      <w:marTop w:val="0"/>
      <w:marBottom w:val="0"/>
      <w:divBdr>
        <w:top w:val="none" w:sz="0" w:space="0" w:color="auto"/>
        <w:left w:val="none" w:sz="0" w:space="0" w:color="auto"/>
        <w:bottom w:val="none" w:sz="0" w:space="0" w:color="auto"/>
        <w:right w:val="none" w:sz="0" w:space="0" w:color="auto"/>
      </w:divBdr>
    </w:div>
    <w:div w:id="2090737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stareademocratiei.ro/wp-content/uploads/2026/05/raport_web-1.pdf" TargetMode="External"/><Relationship Id="rId39" Type="http://schemas.openxmlformats.org/officeDocument/2006/relationships/hyperlink" Target="https://www.cdep.ro/pls/dic/legis_acte_parlam?cam=0&amp;tip=1&amp;an=2025" TargetMode="External"/><Relationship Id="rId21" Type="http://schemas.openxmlformats.org/officeDocument/2006/relationships/footer" Target="footer3.xml"/><Relationship Id="rId34" Type="http://schemas.openxmlformats.org/officeDocument/2006/relationships/hyperlink" Target="https://www.iccj.ro/2026/03/25/comunicat-privind-suspendarea-deciziei-nr-574-2025-emise-de-prim-ministrul-ilie-bolojan-privind-infiintarea-comitetului-constituit-pentru-legile-justitiei/" TargetMode="External"/><Relationship Id="rId42" Type="http://schemas.openxmlformats.org/officeDocument/2006/relationships/hyperlink" Target="https://www.cdep.ro/pls/proiecte/upl_pck2015.proiect?nr=57&amp;an=2021" TargetMode="External"/><Relationship Id="rId47" Type="http://schemas.openxmlformats.org/officeDocument/2006/relationships/hyperlink" Target="https://www.csm1909.ro/PageDetails.aspx?PageId=299&amp;FolderId=12493" TargetMode="External"/><Relationship Id="rId50" Type="http://schemas.openxmlformats.org/officeDocument/2006/relationships/hyperlink" Target="http://www.cna.ro/a-situatii-privind-licentele-audiovizuale-avizele-de-furnizare-a-serviciilor-media-audiovizuale-la-cerere-avizele-de-retransmisie-si-autorizatiile-de-re-fl7wut28fqxu5c0y94sohaf7/" TargetMode="External"/><Relationship Id="rId55"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lujust.ro/procurorul-sandu-din-csm-constat-o-situatie-ingrijoratoare-probele-sunt-anulate-pe-banda-rulanta/" TargetMode="External"/><Relationship Id="rId33" Type="http://schemas.openxmlformats.org/officeDocument/2006/relationships/hyperlink" Target="https://rm.coe.int/CoERMPublicCommonSearchServices/DisplayDCTMContent?documentId=09000016806c7c10" TargetMode="External"/><Relationship Id="rId38" Type="http://schemas.openxmlformats.org/officeDocument/2006/relationships/hyperlink" Target="https://www.oecd.org/en/publications/oecd-economic-surveys-romania-2026_4844067e-en/full-report.html" TargetMode="External"/><Relationship Id="rId46" Type="http://schemas.openxmlformats.org/officeDocument/2006/relationships/hyperlink" Target="https://papers.ssrn.com/sol3/papers.cfm?abstract_id=5419694"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expertforum.ro/marii-finantatori-partide-2024/" TargetMode="External"/><Relationship Id="rId41" Type="http://schemas.openxmlformats.org/officeDocument/2006/relationships/hyperlink" Target="https://stirileprotv.ro/stiri/actualitate/darius-valcov-eliberat-din-inchisoare-dupa-ce-instanta-suprema-a-stabilit-ca-faptele-s-au-prescris.html"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monitor.civicus.org/country/romania/" TargetMode="External"/><Relationship Id="rId32" Type="http://schemas.openxmlformats.org/officeDocument/2006/relationships/hyperlink" Target="https://www.g4media.ro/curtea-suprema-inca-un-dosar-de-coruptie-inchis-fostul-senator-pnl-eugen-pirvulescu-achitare-si-fapta-prescrisa-in-dosarul-angajarilor-trucate-de-la-ambulanta-teleorman-dna-poate-face-apel.html" TargetMode="External"/><Relationship Id="rId37" Type="http://schemas.openxmlformats.org/officeDocument/2006/relationships/hyperlink" Target="https://legislatie.just.ro/Public/DetaliiDocument/296926" TargetMode="External"/><Relationship Id="rId40" Type="http://schemas.openxmlformats.org/officeDocument/2006/relationships/hyperlink" Target="https://www.presidency.ro/ro/media/comunicate-de-presa/sinteza-observatiilor-transmise-de-magistrati-si-alti-actori-din-sistemul-judiciar-privind-functionarea-justitiei-independenta-magistratilor-si-mecanismele-privind-cariera-magistratilor" TargetMode="External"/><Relationship Id="rId45" Type="http://schemas.openxmlformats.org/officeDocument/2006/relationships/hyperlink" Target="https://www.mdlpa.ro/pages/proiectlegeaprobarecodproceduraadministrativa03112025" TargetMode="External"/><Relationship Id="rId53" Type="http://schemas.openxmlformats.org/officeDocument/2006/relationships/footer" Target="footer4.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amcham.ro/communication/amcham-press-releases/results-of-the-amcham-survey-on-romanias-investment-and-business-climate-in-2025---7th-edition" TargetMode="External"/><Relationship Id="rId28" Type="http://schemas.openxmlformats.org/officeDocument/2006/relationships/hyperlink" Target="https://rm.coe.int/2025-annual-report/48802b1633" TargetMode="External"/><Relationship Id="rId36" Type="http://schemas.openxmlformats.org/officeDocument/2006/relationships/hyperlink" Target="https://www.kas.de/en/web/rumaenien/single-title/detail/-/content/how-do-we-combat-the-democratic-regression-in-romania-in-the-long-term" TargetMode="External"/><Relationship Id="rId49" Type="http://schemas.openxmlformats.org/officeDocument/2006/relationships/hyperlink" Target="https://www.csm1909.ro/ViewFile.ashx?guid=5fd4554d-94d9-4a8f-88e4-93b69f72f821-InfoCSM" TargetMode="External"/><Relationship Id="rId57"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fdsc.ro/wp-content/uploads/2026/02/MACS_Monitoring-report_Romania_EN.pdf" TargetMode="External"/><Relationship Id="rId44" Type="http://schemas.openxmlformats.org/officeDocument/2006/relationships/hyperlink" Target="https://legislatie.just.ro/Public/DetaliiDocument/302390" TargetMode="External"/><Relationship Id="rId52"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romania-eng/488029df7f" TargetMode="External"/><Relationship Id="rId30" Type="http://schemas.openxmlformats.org/officeDocument/2006/relationships/hyperlink" Target="https://expertforum.ro/alegeti-noul-presedinte-aep-responsabil/" TargetMode="External"/><Relationship Id="rId35" Type="http://schemas.openxmlformats.org/officeDocument/2006/relationships/hyperlink" Target="https://sna.just.ro/en/a/rapoarte-de-audit/2021-2025" TargetMode="External"/><Relationship Id="rId43" Type="http://schemas.openxmlformats.org/officeDocument/2006/relationships/hyperlink" Target="https://www.gov.ro/fisiere/stiri_fisiere/Raport_final_2026.03.16.pdf" TargetMode="External"/><Relationship Id="rId48" Type="http://schemas.openxmlformats.org/officeDocument/2006/relationships/hyperlink" Target="https://www.csm1909.ro/ViewFile.ashx?guid=5fd4554d-94d9-4a8f-88e4-93b69f72f821-InfoCSM" TargetMode="External"/><Relationship Id="rId56" Type="http://schemas.openxmlformats.org/officeDocument/2006/relationships/footer" Target="footer6.xml"/><Relationship Id="rId8" Type="http://schemas.openxmlformats.org/officeDocument/2006/relationships/customXml" Target="../customXml/item8.xml"/><Relationship Id="rId51" Type="http://schemas.openxmlformats.org/officeDocument/2006/relationships/header" Target="header4.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activewatch.ro/articole/nominalizarea-purt%C4%83torului-de-cuv%C3%A2nt-al-guvernului-%C3%AEn-ca-al-srr-ridic%C4%83-probleme-de-compatibilitate-%C8%99i-de-independen%C8%9B%C4%83-institu%C8%9Bional%C4%83/"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2CB45-03D7-437C-98C7-E977918D3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9BB7C-547C-4C15-B61E-BE0A69226E01}">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85DEDC53-A93E-4ADB-9EC2-F69334C80BD2}">
  <ds:schemaRefs/>
</ds:datastoreItem>
</file>

<file path=customXml/itemProps5.xml><?xml version="1.0" encoding="utf-8"?>
<ds:datastoreItem xmlns:ds="http://schemas.openxmlformats.org/officeDocument/2006/customXml" ds:itemID="{BFA41A00-94E2-4E5D-A984-680241D09B32}">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7DDA23BC-589C-44CD-9152-27D9D1451E7D}">
  <ds:schemaRef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http://purl.org/dc/elements/1.1/"/>
    <ds:schemaRef ds:uri="ffa05dec-e383-4a36-a526-3e8014669239"/>
    <ds:schemaRef ds:uri="http://schemas.openxmlformats.org/package/2006/metadata/core-properties"/>
    <ds:schemaRef ds:uri="http://purl.org/dc/terms/"/>
  </ds:schemaRefs>
</ds:datastoreItem>
</file>

<file path=customXml/itemProps8.xml><?xml version="1.0" encoding="utf-8"?>
<ds:datastoreItem xmlns:ds="http://schemas.openxmlformats.org/officeDocument/2006/customXml" ds:itemID="{F7A05AF3-FBDA-417F-B420-24317F757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10185</Words>
  <Characters>58061</Characters>
  <Application>Microsoft Office Word</Application>
  <DocSecurity>0</DocSecurity>
  <PresentationFormat>Microsoft Word 14.0</PresentationFormat>
  <Lines>483</Lines>
  <Paragraphs>136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68110</CharactersWithSpaces>
  <SharedDoc>false</SharedDoc>
  <HLinks>
    <vt:vector size="198" baseType="variant">
      <vt:variant>
        <vt:i4>1179671</vt:i4>
      </vt:variant>
      <vt:variant>
        <vt:i4>87</vt:i4>
      </vt:variant>
      <vt:variant>
        <vt:i4>0</vt:i4>
      </vt:variant>
      <vt:variant>
        <vt:i4>5</vt:i4>
      </vt:variant>
      <vt:variant>
        <vt:lpwstr>http://www.cna.ro/a-situatii-privind-licentele-audiovizuale-avizele-de-furnizare-a-serviciilor-media-audiovizuale-la-cerere-avizele-de-retransmisie-si-autorizatiile-de-re-fl7wut28fqxu5c0y94sohaf7/</vt:lpwstr>
      </vt:variant>
      <vt:variant>
        <vt:lpwstr/>
      </vt:variant>
      <vt:variant>
        <vt:i4>2687013</vt:i4>
      </vt:variant>
      <vt:variant>
        <vt:i4>84</vt:i4>
      </vt:variant>
      <vt:variant>
        <vt:i4>0</vt:i4>
      </vt:variant>
      <vt:variant>
        <vt:i4>5</vt:i4>
      </vt:variant>
      <vt:variant>
        <vt:lpwstr>https://www.csm1909.ro/ViewFile.ashx?guid=5fd4554d-94d9-4a8f-88e4-93b69f72f821-InfoCSM</vt:lpwstr>
      </vt:variant>
      <vt:variant>
        <vt:lpwstr/>
      </vt:variant>
      <vt:variant>
        <vt:i4>2687013</vt:i4>
      </vt:variant>
      <vt:variant>
        <vt:i4>81</vt:i4>
      </vt:variant>
      <vt:variant>
        <vt:i4>0</vt:i4>
      </vt:variant>
      <vt:variant>
        <vt:i4>5</vt:i4>
      </vt:variant>
      <vt:variant>
        <vt:lpwstr>https://www.csm1909.ro/ViewFile.ashx?guid=5fd4554d-94d9-4a8f-88e4-93b69f72f821-InfoCSM</vt:lpwstr>
      </vt:variant>
      <vt:variant>
        <vt:lpwstr/>
      </vt:variant>
      <vt:variant>
        <vt:i4>1245214</vt:i4>
      </vt:variant>
      <vt:variant>
        <vt:i4>78</vt:i4>
      </vt:variant>
      <vt:variant>
        <vt:i4>0</vt:i4>
      </vt:variant>
      <vt:variant>
        <vt:i4>5</vt:i4>
      </vt:variant>
      <vt:variant>
        <vt:lpwstr>https://www.csm1909.ro/PageDetails.aspx?PageId=299&amp;FolderId=12493</vt:lpwstr>
      </vt:variant>
      <vt:variant>
        <vt:lpwstr/>
      </vt:variant>
      <vt:variant>
        <vt:i4>3342412</vt:i4>
      </vt:variant>
      <vt:variant>
        <vt:i4>75</vt:i4>
      </vt:variant>
      <vt:variant>
        <vt:i4>0</vt:i4>
      </vt:variant>
      <vt:variant>
        <vt:i4>5</vt:i4>
      </vt:variant>
      <vt:variant>
        <vt:lpwstr>https://papers.ssrn.com/sol3/papers.cfm?abstract_id=5419694</vt:lpwstr>
      </vt:variant>
      <vt:variant>
        <vt:lpwstr/>
      </vt:variant>
      <vt:variant>
        <vt:i4>1245254</vt:i4>
      </vt:variant>
      <vt:variant>
        <vt:i4>72</vt:i4>
      </vt:variant>
      <vt:variant>
        <vt:i4>0</vt:i4>
      </vt:variant>
      <vt:variant>
        <vt:i4>5</vt:i4>
      </vt:variant>
      <vt:variant>
        <vt:lpwstr>https://www.mdlpa.ro/pages/proiectlegeaprobarecodproceduraadministrativa03112025</vt:lpwstr>
      </vt:variant>
      <vt:variant>
        <vt:lpwstr/>
      </vt:variant>
      <vt:variant>
        <vt:i4>1638430</vt:i4>
      </vt:variant>
      <vt:variant>
        <vt:i4>69</vt:i4>
      </vt:variant>
      <vt:variant>
        <vt:i4>0</vt:i4>
      </vt:variant>
      <vt:variant>
        <vt:i4>5</vt:i4>
      </vt:variant>
      <vt:variant>
        <vt:lpwstr>https://legislatie.just.ro/Public/DetaliiDocument/302390</vt:lpwstr>
      </vt:variant>
      <vt:variant>
        <vt:lpwstr/>
      </vt:variant>
      <vt:variant>
        <vt:i4>5570605</vt:i4>
      </vt:variant>
      <vt:variant>
        <vt:i4>66</vt:i4>
      </vt:variant>
      <vt:variant>
        <vt:i4>0</vt:i4>
      </vt:variant>
      <vt:variant>
        <vt:i4>5</vt:i4>
      </vt:variant>
      <vt:variant>
        <vt:lpwstr>https://www.gov.ro/fisiere/stiri_fisiere/Raport_final_2026.03.16.pdf</vt:lpwstr>
      </vt:variant>
      <vt:variant>
        <vt:lpwstr/>
      </vt:variant>
      <vt:variant>
        <vt:i4>7274508</vt:i4>
      </vt:variant>
      <vt:variant>
        <vt:i4>63</vt:i4>
      </vt:variant>
      <vt:variant>
        <vt:i4>0</vt:i4>
      </vt:variant>
      <vt:variant>
        <vt:i4>5</vt:i4>
      </vt:variant>
      <vt:variant>
        <vt:lpwstr>https://www.cdep.ro/pls/proiecte/upl_pck2015.proiect?nr=57&amp;an=2021</vt:lpwstr>
      </vt:variant>
      <vt:variant>
        <vt:lpwstr/>
      </vt:variant>
      <vt:variant>
        <vt:i4>1704012</vt:i4>
      </vt:variant>
      <vt:variant>
        <vt:i4>60</vt:i4>
      </vt:variant>
      <vt:variant>
        <vt:i4>0</vt:i4>
      </vt:variant>
      <vt:variant>
        <vt:i4>5</vt:i4>
      </vt:variant>
      <vt:variant>
        <vt:lpwstr>https://stirileprotv.ro/stiri/actualitate/darius-valcov-eliberat-din-inchisoare-dupa-ce-instanta-suprema-a-stabilit-ca-faptele-s-au-prescris.html</vt:lpwstr>
      </vt:variant>
      <vt:variant>
        <vt:lpwstr/>
      </vt:variant>
      <vt:variant>
        <vt:i4>4390926</vt:i4>
      </vt:variant>
      <vt:variant>
        <vt:i4>57</vt:i4>
      </vt:variant>
      <vt:variant>
        <vt:i4>0</vt:i4>
      </vt:variant>
      <vt:variant>
        <vt:i4>5</vt:i4>
      </vt:variant>
      <vt:variant>
        <vt:lpwstr>https://www.presidency.ro/ro/media/comunicate-de-presa/sinteza-observatiilor-transmise-de-magistrati-si-alti-actori-din-sistemul-judiciar-privind-functionarea-justitiei-independenta-magistratilor-si-mecanismele-privind-cariera-magistratilor</vt:lpwstr>
      </vt:variant>
      <vt:variant>
        <vt:lpwstr/>
      </vt:variant>
      <vt:variant>
        <vt:i4>7012406</vt:i4>
      </vt:variant>
      <vt:variant>
        <vt:i4>54</vt:i4>
      </vt:variant>
      <vt:variant>
        <vt:i4>0</vt:i4>
      </vt:variant>
      <vt:variant>
        <vt:i4>5</vt:i4>
      </vt:variant>
      <vt:variant>
        <vt:lpwstr>https://www.cdep.ro/pls/dic/legis_acte_parlam?cam=0&amp;tip=1&amp;an=2025</vt:lpwstr>
      </vt:variant>
      <vt:variant>
        <vt:lpwstr/>
      </vt:variant>
      <vt:variant>
        <vt:i4>2687040</vt:i4>
      </vt:variant>
      <vt:variant>
        <vt:i4>51</vt:i4>
      </vt:variant>
      <vt:variant>
        <vt:i4>0</vt:i4>
      </vt:variant>
      <vt:variant>
        <vt:i4>5</vt:i4>
      </vt:variant>
      <vt:variant>
        <vt:lpwstr>https://www.oecd.org/en/publications/oecd-economic-surveys-romania-2026_4844067e-en/full-report.html</vt:lpwstr>
      </vt:variant>
      <vt:variant>
        <vt:lpwstr/>
      </vt:variant>
      <vt:variant>
        <vt:i4>1835024</vt:i4>
      </vt:variant>
      <vt:variant>
        <vt:i4>48</vt:i4>
      </vt:variant>
      <vt:variant>
        <vt:i4>0</vt:i4>
      </vt:variant>
      <vt:variant>
        <vt:i4>5</vt:i4>
      </vt:variant>
      <vt:variant>
        <vt:lpwstr>https://legislatie.just.ro/Public/DetaliiDocument/296926</vt:lpwstr>
      </vt:variant>
      <vt:variant>
        <vt:lpwstr/>
      </vt:variant>
      <vt:variant>
        <vt:i4>1704017</vt:i4>
      </vt:variant>
      <vt:variant>
        <vt:i4>45</vt:i4>
      </vt:variant>
      <vt:variant>
        <vt:i4>0</vt:i4>
      </vt:variant>
      <vt:variant>
        <vt:i4>5</vt:i4>
      </vt:variant>
      <vt:variant>
        <vt:lpwstr>https://www.kas.de/en/web/rumaenien/single-title/detail/-/content/how-do-we-combat-the-democratic-regression-in-romania-in-the-long-term</vt:lpwstr>
      </vt:variant>
      <vt:variant>
        <vt:lpwstr/>
      </vt:variant>
      <vt:variant>
        <vt:i4>6291581</vt:i4>
      </vt:variant>
      <vt:variant>
        <vt:i4>42</vt:i4>
      </vt:variant>
      <vt:variant>
        <vt:i4>0</vt:i4>
      </vt:variant>
      <vt:variant>
        <vt:i4>5</vt:i4>
      </vt:variant>
      <vt:variant>
        <vt:lpwstr>https://sna.just.ro/en/a/rapoarte-de-audit/2021-2025</vt:lpwstr>
      </vt:variant>
      <vt:variant>
        <vt:lpwstr>pdf</vt:lpwstr>
      </vt:variant>
      <vt:variant>
        <vt:i4>2162741</vt:i4>
      </vt:variant>
      <vt:variant>
        <vt:i4>39</vt:i4>
      </vt:variant>
      <vt:variant>
        <vt:i4>0</vt:i4>
      </vt:variant>
      <vt:variant>
        <vt:i4>5</vt:i4>
      </vt:variant>
      <vt:variant>
        <vt:lpwstr>https://www.iccj.ro/2026/03/25/comunicat-privind-suspendarea-deciziei-nr-574-2025-emise-de-prim-ministrul-ilie-bolojan-privind-infiintarea-comitetului-constituit-pentru-legile-justitiei/</vt:lpwstr>
      </vt:variant>
      <vt:variant>
        <vt:lpwstr/>
      </vt:variant>
      <vt:variant>
        <vt:i4>4587603</vt:i4>
      </vt:variant>
      <vt:variant>
        <vt:i4>36</vt:i4>
      </vt:variant>
      <vt:variant>
        <vt:i4>0</vt:i4>
      </vt:variant>
      <vt:variant>
        <vt:i4>5</vt:i4>
      </vt:variant>
      <vt:variant>
        <vt:lpwstr>https://rm.coe.int/CoERMPublicCommonSearchServices/DisplayDCTMContent?documentId=09000016806c7c10</vt:lpwstr>
      </vt:variant>
      <vt:variant>
        <vt:lpwstr/>
      </vt:variant>
      <vt:variant>
        <vt:i4>1376273</vt:i4>
      </vt:variant>
      <vt:variant>
        <vt:i4>33</vt:i4>
      </vt:variant>
      <vt:variant>
        <vt:i4>0</vt:i4>
      </vt:variant>
      <vt:variant>
        <vt:i4>5</vt:i4>
      </vt:variant>
      <vt:variant>
        <vt:lpwstr>https://legislatie.just.ro/Public/DetaliiDocument/305817.</vt:lpwstr>
      </vt:variant>
      <vt:variant>
        <vt:lpwstr/>
      </vt:variant>
      <vt:variant>
        <vt:i4>4849742</vt:i4>
      </vt:variant>
      <vt:variant>
        <vt:i4>30</vt:i4>
      </vt:variant>
      <vt:variant>
        <vt:i4>0</vt:i4>
      </vt:variant>
      <vt:variant>
        <vt:i4>5</vt:i4>
      </vt:variant>
      <vt:variant>
        <vt:lpwstr>https://www.g4media.ro/curtea-suprema-inca-un-dosar-de-coruptie-inchis-fostul-senator-pnl-eugen-pirvulescu-achitare-si-fapta-prescrisa-in-dosarul-angajarilor-trucate-de-la-ambulanta-teleorman-dna-poate-face-apel.html</vt:lpwstr>
      </vt:variant>
      <vt:variant>
        <vt:lpwstr/>
      </vt:variant>
      <vt:variant>
        <vt:i4>3211340</vt:i4>
      </vt:variant>
      <vt:variant>
        <vt:i4>27</vt:i4>
      </vt:variant>
      <vt:variant>
        <vt:i4>0</vt:i4>
      </vt:variant>
      <vt:variant>
        <vt:i4>5</vt:i4>
      </vt:variant>
      <vt:variant>
        <vt:lpwstr>https://www.fdsc.ro/wp-content/uploads/2026/02/MACS_Monitoring-report_Romania_EN.pdf</vt:lpwstr>
      </vt:variant>
      <vt:variant>
        <vt:lpwstr/>
      </vt:variant>
      <vt:variant>
        <vt:i4>7405609</vt:i4>
      </vt:variant>
      <vt:variant>
        <vt:i4>24</vt:i4>
      </vt:variant>
      <vt:variant>
        <vt:i4>0</vt:i4>
      </vt:variant>
      <vt:variant>
        <vt:i4>5</vt:i4>
      </vt:variant>
      <vt:variant>
        <vt:lpwstr>https://expertforum.ro/alegeti-noul-presedinte-aep-responsabil/</vt:lpwstr>
      </vt:variant>
      <vt:variant>
        <vt:lpwstr/>
      </vt:variant>
      <vt:variant>
        <vt:i4>7667753</vt:i4>
      </vt:variant>
      <vt:variant>
        <vt:i4>21</vt:i4>
      </vt:variant>
      <vt:variant>
        <vt:i4>0</vt:i4>
      </vt:variant>
      <vt:variant>
        <vt:i4>5</vt:i4>
      </vt:variant>
      <vt:variant>
        <vt:lpwstr>https://expertforum.ro/marii-finantatori-partide-2024/</vt:lpwstr>
      </vt:variant>
      <vt:variant>
        <vt:lpwstr/>
      </vt:variant>
      <vt:variant>
        <vt:i4>851992</vt:i4>
      </vt:variant>
      <vt:variant>
        <vt:i4>18</vt:i4>
      </vt:variant>
      <vt:variant>
        <vt:i4>0</vt:i4>
      </vt:variant>
      <vt:variant>
        <vt:i4>5</vt:i4>
      </vt:variant>
      <vt:variant>
        <vt:lpwstr>https://rm.coe.int/2025-annual-report/48802b1633</vt:lpwstr>
      </vt:variant>
      <vt:variant>
        <vt:lpwstr/>
      </vt:variant>
      <vt:variant>
        <vt:i4>1572928</vt:i4>
      </vt:variant>
      <vt:variant>
        <vt:i4>15</vt:i4>
      </vt:variant>
      <vt:variant>
        <vt:i4>0</vt:i4>
      </vt:variant>
      <vt:variant>
        <vt:i4>5</vt:i4>
      </vt:variant>
      <vt:variant>
        <vt:lpwstr>https://rm.coe.int/romania-eng/488029df7f</vt:lpwstr>
      </vt:variant>
      <vt:variant>
        <vt:lpwstr/>
      </vt:variant>
      <vt:variant>
        <vt:i4>131121</vt:i4>
      </vt:variant>
      <vt:variant>
        <vt:i4>12</vt:i4>
      </vt:variant>
      <vt:variant>
        <vt:i4>0</vt:i4>
      </vt:variant>
      <vt:variant>
        <vt:i4>5</vt:i4>
      </vt:variant>
      <vt:variant>
        <vt:lpwstr>https://www.stareademocratiei.ro/wp-content/uploads/2026/05/raport_web-1.pdf</vt:lpwstr>
      </vt:variant>
      <vt:variant>
        <vt:lpwstr/>
      </vt:variant>
      <vt:variant>
        <vt:i4>4194370</vt:i4>
      </vt:variant>
      <vt:variant>
        <vt:i4>9</vt:i4>
      </vt:variant>
      <vt:variant>
        <vt:i4>0</vt:i4>
      </vt:variant>
      <vt:variant>
        <vt:i4>5</vt:i4>
      </vt:variant>
      <vt:variant>
        <vt:lpwstr>https://www.clujust.ro/procurorul-sandu-din-csm-constat-o-situatie-ingrijoratoare-probele-sunt-anulate-pe-banda-rulanta/</vt:lpwstr>
      </vt:variant>
      <vt:variant>
        <vt:lpwstr/>
      </vt:variant>
      <vt:variant>
        <vt:i4>4456515</vt:i4>
      </vt:variant>
      <vt:variant>
        <vt:i4>6</vt:i4>
      </vt:variant>
      <vt:variant>
        <vt:i4>0</vt:i4>
      </vt:variant>
      <vt:variant>
        <vt:i4>5</vt:i4>
      </vt:variant>
      <vt:variant>
        <vt:lpwstr>https://monitor.civicus.org/country/romania/</vt:lpwstr>
      </vt:variant>
      <vt:variant>
        <vt:lpwstr/>
      </vt:variant>
      <vt:variant>
        <vt:i4>1835077</vt:i4>
      </vt:variant>
      <vt:variant>
        <vt:i4>3</vt:i4>
      </vt:variant>
      <vt:variant>
        <vt:i4>0</vt:i4>
      </vt:variant>
      <vt:variant>
        <vt:i4>5</vt:i4>
      </vt:variant>
      <vt:variant>
        <vt:lpwstr>https://www.amcham.ro/communication/amcham-press-releases/results-of-the-amcham-survey-on-romanias-investment-and-business-climate-in-2025---7th-edition</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6</vt:i4>
      </vt:variant>
      <vt:variant>
        <vt:i4>0</vt:i4>
      </vt:variant>
      <vt:variant>
        <vt:i4>5</vt:i4>
      </vt:variant>
      <vt:variant>
        <vt:lpwstr>https://www.coe.int/en/web/execution/the-supervision-process</vt:lpwstr>
      </vt:variant>
      <vt:variant>
        <vt:lpwstr/>
      </vt:variant>
      <vt:variant>
        <vt:i4>2818098</vt:i4>
      </vt:variant>
      <vt:variant>
        <vt:i4>3</vt:i4>
      </vt:variant>
      <vt:variant>
        <vt:i4>0</vt:i4>
      </vt:variant>
      <vt:variant>
        <vt:i4>5</vt:i4>
      </vt:variant>
      <vt:variant>
        <vt:lpwstr>https://activewatch.ro/articole/nominalizarea-purt%C4%83torului-de-cuv%C3%A2nt-al-guvernului-%C3%AEn-ca-al-srr-ridic%C4%83-probleme-de-compatibilitate-%C8%99i-de-independen%C8%9B%C4%83-institu%C8%9Bional%C4%83/</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2026-07-12T12:26:00Z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2026-07-11T19:04:44Z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c86f95e2-401b-40b1-a0f0-dee0d89e69a6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